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FAD08C" w14:textId="0F48726F" w:rsidR="00CD68BC" w:rsidRDefault="00905516" w:rsidP="00905516">
      <w:pPr>
        <w:jc w:val="center"/>
        <w:rPr>
          <w:sz w:val="24"/>
          <w:szCs w:val="24"/>
        </w:rPr>
      </w:pPr>
      <w:r>
        <w:rPr>
          <w:sz w:val="24"/>
          <w:szCs w:val="24"/>
        </w:rPr>
        <w:t>OFFICIAL BALLOT</w:t>
      </w:r>
    </w:p>
    <w:p w14:paraId="5ACD3E03" w14:textId="7E79CB7E" w:rsidR="00905516" w:rsidRDefault="00905516" w:rsidP="00905516">
      <w:pPr>
        <w:jc w:val="center"/>
        <w:rPr>
          <w:sz w:val="24"/>
          <w:szCs w:val="24"/>
        </w:rPr>
      </w:pPr>
      <w:r>
        <w:rPr>
          <w:sz w:val="24"/>
          <w:szCs w:val="24"/>
        </w:rPr>
        <w:t>MAINE CAREER AND TECHNICAL EDUCATION REGION 10 REFERENDUM</w:t>
      </w:r>
    </w:p>
    <w:p w14:paraId="5CC97E4B" w14:textId="77C2814E" w:rsidR="00905516" w:rsidRDefault="00905516" w:rsidP="00905516">
      <w:pPr>
        <w:jc w:val="center"/>
        <w:rPr>
          <w:sz w:val="24"/>
          <w:szCs w:val="24"/>
        </w:rPr>
      </w:pPr>
      <w:r>
        <w:rPr>
          <w:sz w:val="24"/>
          <w:szCs w:val="24"/>
        </w:rPr>
        <w:t>TOWN OF BOWDOINHAM, MAINE</w:t>
      </w:r>
    </w:p>
    <w:p w14:paraId="7B2B2FF3" w14:textId="3D1582F4" w:rsidR="00905516" w:rsidRDefault="00905516" w:rsidP="00905516">
      <w:pPr>
        <w:jc w:val="center"/>
        <w:rPr>
          <w:sz w:val="24"/>
          <w:szCs w:val="24"/>
        </w:rPr>
      </w:pPr>
      <w:r>
        <w:rPr>
          <w:sz w:val="24"/>
          <w:szCs w:val="24"/>
        </w:rPr>
        <w:t>TUESDAY, JUNE 11, 2024</w:t>
      </w:r>
    </w:p>
    <w:p w14:paraId="23BD961D" w14:textId="77777777" w:rsidR="00905516" w:rsidRDefault="00905516" w:rsidP="00905516">
      <w:pPr>
        <w:jc w:val="center"/>
        <w:rPr>
          <w:sz w:val="24"/>
          <w:szCs w:val="24"/>
        </w:rPr>
      </w:pPr>
    </w:p>
    <w:p w14:paraId="69C7A4F3" w14:textId="77777777" w:rsidR="00905516" w:rsidRDefault="00905516" w:rsidP="00905516">
      <w:pPr>
        <w:jc w:val="center"/>
        <w:rPr>
          <w:sz w:val="24"/>
          <w:szCs w:val="24"/>
        </w:rPr>
      </w:pPr>
    </w:p>
    <w:p w14:paraId="1CABA880" w14:textId="70252FC9" w:rsidR="00905516" w:rsidRPr="00615703" w:rsidRDefault="00905516" w:rsidP="00905516">
      <w:pPr>
        <w:spacing w:after="0"/>
        <w:jc w:val="right"/>
        <w:rPr>
          <w:sz w:val="20"/>
          <w:szCs w:val="20"/>
        </w:rPr>
      </w:pPr>
      <w:r>
        <w:rPr>
          <w:sz w:val="24"/>
          <w:szCs w:val="24"/>
        </w:rPr>
        <w:tab/>
      </w:r>
      <w:r>
        <w:rPr>
          <w:sz w:val="24"/>
          <w:szCs w:val="24"/>
        </w:rPr>
        <w:tab/>
      </w:r>
      <w:r w:rsidRPr="00615703">
        <w:rPr>
          <w:sz w:val="20"/>
          <w:szCs w:val="20"/>
        </w:rPr>
        <w:t>David A. Johnson, Chair</w:t>
      </w:r>
    </w:p>
    <w:p w14:paraId="6D987BFE" w14:textId="028EC5F9" w:rsidR="00905516" w:rsidRPr="00615703" w:rsidRDefault="00905516" w:rsidP="00905516">
      <w:pPr>
        <w:spacing w:after="0"/>
        <w:jc w:val="right"/>
        <w:rPr>
          <w:sz w:val="20"/>
          <w:szCs w:val="20"/>
        </w:rPr>
      </w:pPr>
      <w:r w:rsidRPr="00615703">
        <w:rPr>
          <w:sz w:val="20"/>
          <w:szCs w:val="20"/>
        </w:rPr>
        <w:t>Region 10 Cooperative Board</w:t>
      </w:r>
    </w:p>
    <w:p w14:paraId="6171BCB8" w14:textId="77777777" w:rsidR="00905516" w:rsidRDefault="00905516" w:rsidP="00905516">
      <w:pPr>
        <w:spacing w:after="0"/>
        <w:rPr>
          <w:sz w:val="24"/>
          <w:szCs w:val="24"/>
        </w:rPr>
      </w:pPr>
    </w:p>
    <w:p w14:paraId="36F12381" w14:textId="0E52FEFD" w:rsidR="00905516" w:rsidRPr="00615703" w:rsidRDefault="00905516" w:rsidP="00905516">
      <w:pPr>
        <w:spacing w:after="0"/>
        <w:jc w:val="center"/>
      </w:pPr>
      <w:r w:rsidRPr="00615703">
        <w:t>INSTRUCTIONS TO VOTERS</w:t>
      </w:r>
    </w:p>
    <w:p w14:paraId="04FDCFD7" w14:textId="1E01F03E" w:rsidR="00905516" w:rsidRPr="00615703" w:rsidRDefault="00905516" w:rsidP="00905516">
      <w:pPr>
        <w:spacing w:after="0"/>
        <w:jc w:val="center"/>
      </w:pPr>
      <w:r w:rsidRPr="00615703">
        <w:t>[NOTE: INSTRUCTIONS MARY VARY BY TOWN BALLOT FORMAT]</w:t>
      </w:r>
    </w:p>
    <w:p w14:paraId="44597D53" w14:textId="315267FF" w:rsidR="00905516" w:rsidRPr="00615703" w:rsidRDefault="00905516" w:rsidP="00905516">
      <w:pPr>
        <w:pStyle w:val="ListParagraph"/>
        <w:numPr>
          <w:ilvl w:val="0"/>
          <w:numId w:val="2"/>
        </w:numPr>
        <w:spacing w:after="0"/>
        <w:jc w:val="both"/>
      </w:pPr>
      <w:r w:rsidRPr="00615703">
        <w:t>TO VOTE, completely fill in the oval to the left of your choice like this:</w:t>
      </w:r>
    </w:p>
    <w:p w14:paraId="5070A3C3" w14:textId="038C1D73" w:rsidR="00905516" w:rsidRPr="00615703" w:rsidRDefault="00905516" w:rsidP="00905516">
      <w:pPr>
        <w:pStyle w:val="ListParagraph"/>
        <w:spacing w:after="0"/>
        <w:ind w:firstLine="720"/>
      </w:pPr>
      <w:r w:rsidRPr="00615703">
        <w:t>[INSERT EXAMPLE OF OVAL FILLED IN]</w:t>
      </w:r>
    </w:p>
    <w:p w14:paraId="0C9D7B3C" w14:textId="1F2347EF" w:rsidR="00905516" w:rsidRPr="00615703" w:rsidRDefault="00081FCB" w:rsidP="00905516">
      <w:pPr>
        <w:pStyle w:val="ListParagraph"/>
        <w:numPr>
          <w:ilvl w:val="0"/>
          <w:numId w:val="2"/>
        </w:numPr>
        <w:spacing w:after="0"/>
      </w:pPr>
      <w:r w:rsidRPr="00615703">
        <w:t>To have your vote count, do not erase or cross out your choice.</w:t>
      </w:r>
    </w:p>
    <w:p w14:paraId="26C44AC4" w14:textId="6B757433" w:rsidR="00081FCB" w:rsidRPr="00615703" w:rsidRDefault="00081FCB" w:rsidP="00905516">
      <w:pPr>
        <w:pStyle w:val="ListParagraph"/>
        <w:numPr>
          <w:ilvl w:val="0"/>
          <w:numId w:val="2"/>
        </w:numPr>
        <w:spacing w:after="0"/>
      </w:pPr>
      <w:r w:rsidRPr="00615703">
        <w:t>If you make a mistake, ask for a new ballot.</w:t>
      </w:r>
    </w:p>
    <w:p w14:paraId="272CE3D2" w14:textId="77777777" w:rsidR="00081FCB" w:rsidRDefault="00081FCB" w:rsidP="00081FCB">
      <w:pPr>
        <w:pStyle w:val="ListParagraph"/>
        <w:spacing w:after="0"/>
        <w:ind w:left="1440"/>
        <w:rPr>
          <w:sz w:val="24"/>
          <w:szCs w:val="24"/>
        </w:rPr>
      </w:pPr>
    </w:p>
    <w:p w14:paraId="1FCBEE80" w14:textId="77777777" w:rsidR="00081FCB" w:rsidRDefault="00081FCB" w:rsidP="00081FCB">
      <w:pPr>
        <w:spacing w:after="0"/>
        <w:rPr>
          <w:sz w:val="24"/>
          <w:szCs w:val="24"/>
        </w:rPr>
      </w:pPr>
    </w:p>
    <w:p w14:paraId="08876498" w14:textId="00321E6B" w:rsidR="00081FCB" w:rsidRDefault="00081FCB" w:rsidP="00081FCB">
      <w:pPr>
        <w:spacing w:after="0"/>
        <w:rPr>
          <w:sz w:val="24"/>
          <w:szCs w:val="24"/>
        </w:rPr>
      </w:pPr>
      <w:r>
        <w:rPr>
          <w:sz w:val="24"/>
          <w:szCs w:val="24"/>
        </w:rPr>
        <w:t>Question 1: Do you favor authorizing the Cooperative Board of Maine Region 10 Technical High School (“Region 10”) to issue bonds and other evidence of indebtedness in the name of Region 10 in an amount to exceed $643,821 through the State of Maine’s zero interest rate/loan forgiveness School Revolving Renovation Fund (SRRF) Program for the renovation and improvement project that is required to remove and replace the bridge structure at the exterior of the Region 10 School building (the “Project”)?</w:t>
      </w:r>
    </w:p>
    <w:p w14:paraId="3F909D6C" w14:textId="77777777" w:rsidR="00081FCB" w:rsidRDefault="00081FCB" w:rsidP="00081FCB">
      <w:pPr>
        <w:spacing w:after="0"/>
        <w:rPr>
          <w:sz w:val="24"/>
          <w:szCs w:val="24"/>
        </w:rPr>
      </w:pPr>
    </w:p>
    <w:p w14:paraId="142F6B86" w14:textId="7D92BA80" w:rsidR="00081FCB" w:rsidRDefault="00081FCB" w:rsidP="00081FCB">
      <w:pPr>
        <w:pStyle w:val="ListParagraph"/>
        <w:numPr>
          <w:ilvl w:val="0"/>
          <w:numId w:val="3"/>
        </w:numPr>
        <w:spacing w:after="0"/>
        <w:rPr>
          <w:sz w:val="24"/>
          <w:szCs w:val="24"/>
        </w:rPr>
      </w:pPr>
      <w:r w:rsidRPr="00081FCB">
        <w:rPr>
          <w:sz w:val="24"/>
          <w:szCs w:val="24"/>
        </w:rPr>
        <w:t xml:space="preserve">Project Explanation: The primary focus of the Project involves removal and replacement of the bridge structure at the exterior of the Region 10 school building, which local officials have determined must </w:t>
      </w:r>
      <w:proofErr w:type="gramStart"/>
      <w:r w:rsidRPr="00081FCB">
        <w:rPr>
          <w:sz w:val="24"/>
          <w:szCs w:val="24"/>
        </w:rPr>
        <w:t>be replaced</w:t>
      </w:r>
      <w:proofErr w:type="gramEnd"/>
      <w:r w:rsidRPr="00081FCB">
        <w:rPr>
          <w:sz w:val="24"/>
          <w:szCs w:val="24"/>
        </w:rPr>
        <w:t xml:space="preserve"> to ensure continued safe access to the building. The Project also involves replacement of the stairs leading to the bridge and other interior and exterior work required to remove and replace the bridge structure and stairs.</w:t>
      </w:r>
    </w:p>
    <w:p w14:paraId="04020588" w14:textId="77777777" w:rsidR="00081FCB" w:rsidRPr="00081FCB" w:rsidRDefault="00081FCB" w:rsidP="00081FCB">
      <w:pPr>
        <w:spacing w:after="0"/>
        <w:rPr>
          <w:sz w:val="24"/>
          <w:szCs w:val="24"/>
        </w:rPr>
      </w:pPr>
    </w:p>
    <w:p w14:paraId="54773E02" w14:textId="01F315FA" w:rsidR="00081FCB" w:rsidRDefault="00081FCB" w:rsidP="00081FCB">
      <w:pPr>
        <w:pStyle w:val="ListParagraph"/>
        <w:numPr>
          <w:ilvl w:val="0"/>
          <w:numId w:val="3"/>
        </w:numPr>
        <w:spacing w:after="0"/>
        <w:rPr>
          <w:sz w:val="24"/>
          <w:szCs w:val="24"/>
        </w:rPr>
      </w:pPr>
      <w:r>
        <w:rPr>
          <w:sz w:val="24"/>
          <w:szCs w:val="24"/>
        </w:rPr>
        <w:t xml:space="preserve">Financing Explanation: The project costs up to a maximum of $643,821 have </w:t>
      </w:r>
      <w:proofErr w:type="gramStart"/>
      <w:r>
        <w:rPr>
          <w:sz w:val="24"/>
          <w:szCs w:val="24"/>
        </w:rPr>
        <w:t>been approved</w:t>
      </w:r>
      <w:proofErr w:type="gramEnd"/>
      <w:r>
        <w:rPr>
          <w:sz w:val="24"/>
          <w:szCs w:val="24"/>
        </w:rPr>
        <w:t xml:space="preserve"> for funding through Maine’s SRRF Program. Of this amount, Region 10 will receive 44.99% (up to $289,655) that will </w:t>
      </w:r>
      <w:proofErr w:type="gramStart"/>
      <w:r>
        <w:rPr>
          <w:sz w:val="24"/>
          <w:szCs w:val="24"/>
        </w:rPr>
        <w:t>be forgiven</w:t>
      </w:r>
      <w:proofErr w:type="gramEnd"/>
      <w:r>
        <w:rPr>
          <w:sz w:val="24"/>
          <w:szCs w:val="24"/>
        </w:rPr>
        <w:t>, and 55.01% (up to $354,166) that Region 10 will repay at zero interest (0%) over a term of ten years.</w:t>
      </w:r>
    </w:p>
    <w:p w14:paraId="3EBF2FF9" w14:textId="52B53251" w:rsidR="00081FCB" w:rsidRPr="00081FCB" w:rsidRDefault="00081FCB" w:rsidP="00081FCB">
      <w:pPr>
        <w:pStyle w:val="ListParagraph"/>
        <w:rPr>
          <w:sz w:val="24"/>
          <w:szCs w:val="24"/>
        </w:rPr>
      </w:pPr>
    </w:p>
    <w:p w14:paraId="3A147AFE" w14:textId="7B13786A" w:rsidR="00081FCB" w:rsidRDefault="00615703" w:rsidP="00081FCB">
      <w:pPr>
        <w:pStyle w:val="ListParagraph"/>
        <w:spacing w:after="0"/>
        <w:ind w:left="1080"/>
        <w:rPr>
          <w:sz w:val="24"/>
          <w:szCs w:val="24"/>
        </w:rPr>
      </w:pPr>
      <w:r>
        <w:rPr>
          <w:noProof/>
          <w:sz w:val="24"/>
          <w:szCs w:val="24"/>
        </w:rPr>
        <mc:AlternateContent>
          <mc:Choice Requires="wps">
            <w:drawing>
              <wp:anchor distT="0" distB="0" distL="114300" distR="114300" simplePos="0" relativeHeight="251664384" behindDoc="0" locked="0" layoutInCell="1" allowOverlap="1" wp14:anchorId="0E321CCF" wp14:editId="59D8A35E">
                <wp:simplePos x="0" y="0"/>
                <wp:positionH relativeFrom="column">
                  <wp:posOffset>4838700</wp:posOffset>
                </wp:positionH>
                <wp:positionV relativeFrom="paragraph">
                  <wp:posOffset>47625</wp:posOffset>
                </wp:positionV>
                <wp:extent cx="371475" cy="247650"/>
                <wp:effectExtent l="0" t="0" r="28575" b="19050"/>
                <wp:wrapNone/>
                <wp:docPr id="1437801735" name="Oval 2"/>
                <wp:cNvGraphicFramePr/>
                <a:graphic xmlns:a="http://schemas.openxmlformats.org/drawingml/2006/main">
                  <a:graphicData uri="http://schemas.microsoft.com/office/word/2010/wordprocessingShape">
                    <wps:wsp>
                      <wps:cNvSpPr/>
                      <wps:spPr>
                        <a:xfrm>
                          <a:off x="0" y="0"/>
                          <a:ext cx="371475" cy="247650"/>
                        </a:xfrm>
                        <a:prstGeom prst="ellipse">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15D7F75" id="Oval 2" o:spid="_x0000_s1026" style="position:absolute;margin-left:381pt;margin-top:3.75pt;width:29.25pt;height: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" fillcolor="white [3201]" strokecolor="black [3200]" strokeweight="1pt">
                <v:stroke joinstyle="miter"/>
              </v:oval>
            </w:pict>
          </mc:Fallback>
        </mc:AlternateContent>
      </w:r>
      <w:r>
        <w:rPr>
          <w:noProof/>
          <w:sz w:val="24"/>
          <w:szCs w:val="24"/>
        </w:rPr>
        <mc:AlternateContent>
          <mc:Choice Requires="wps">
            <w:drawing>
              <wp:anchor distT="0" distB="0" distL="114300" distR="114300" simplePos="0" relativeHeight="251662336" behindDoc="0" locked="0" layoutInCell="1" allowOverlap="1" wp14:anchorId="795F65D5" wp14:editId="65BC5F6D">
                <wp:simplePos x="0" y="0"/>
                <wp:positionH relativeFrom="column">
                  <wp:posOffset>1476375</wp:posOffset>
                </wp:positionH>
                <wp:positionV relativeFrom="paragraph">
                  <wp:posOffset>55245</wp:posOffset>
                </wp:positionV>
                <wp:extent cx="371475" cy="247650"/>
                <wp:effectExtent l="0" t="0" r="28575" b="19050"/>
                <wp:wrapNone/>
                <wp:docPr id="2126958312" name="Oval 2"/>
                <wp:cNvGraphicFramePr/>
                <a:graphic xmlns:a="http://schemas.openxmlformats.org/drawingml/2006/main">
                  <a:graphicData uri="http://schemas.microsoft.com/office/word/2010/wordprocessingShape">
                    <wps:wsp>
                      <wps:cNvSpPr/>
                      <wps:spPr>
                        <a:xfrm>
                          <a:off x="0" y="0"/>
                          <a:ext cx="371475" cy="24765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242FAC6" id="Oval 2" o:spid="_x0000_s1026" style="position:absolute;margin-left:116.25pt;margin-top:4.35pt;width:29.25pt;height:1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" fillcolor="white [3201]" strokecolor="black [3200]" strokeweight="1pt">
                <v:stroke joinstyle="miter"/>
              </v:oval>
            </w:pict>
          </mc:Fallback>
        </mc:AlternateContent>
      </w:r>
      <w:r>
        <w:rPr>
          <w:sz w:val="24"/>
          <w:szCs w:val="24"/>
        </w:rPr>
        <w:t xml:space="preserve">YES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NO                        </w:t>
      </w:r>
    </w:p>
    <w:p w14:paraId="217900B7" w14:textId="77777777" w:rsidR="00615703" w:rsidRPr="00081FCB" w:rsidRDefault="00615703" w:rsidP="00081FCB">
      <w:pPr>
        <w:pStyle w:val="ListParagraph"/>
        <w:spacing w:after="0"/>
        <w:ind w:left="1080"/>
        <w:rPr>
          <w:sz w:val="24"/>
          <w:szCs w:val="24"/>
        </w:rPr>
      </w:pPr>
    </w:p>
    <w:p w14:paraId="355413C5" w14:textId="186F98C1" w:rsidR="00905516" w:rsidRPr="00905516" w:rsidRDefault="00905516" w:rsidP="00905516">
      <w:pPr>
        <w:spacing w:after="0"/>
        <w:rPr>
          <w:sz w:val="24"/>
          <w:szCs w:val="24"/>
        </w:rPr>
      </w:pPr>
    </w:p>
    <w:sectPr w:rsidR="00905516" w:rsidRPr="009055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5121F"/>
    <w:multiLevelType w:val="hybridMultilevel"/>
    <w:tmpl w:val="393AC84A"/>
    <w:lvl w:ilvl="0" w:tplc="80025034">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0D42BD"/>
    <w:multiLevelType w:val="hybridMultilevel"/>
    <w:tmpl w:val="B3BA54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A132F7D"/>
    <w:multiLevelType w:val="hybridMultilevel"/>
    <w:tmpl w:val="C31EF4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019743333">
    <w:abstractNumId w:val="1"/>
  </w:num>
  <w:num w:numId="2" w16cid:durableId="1646155914">
    <w:abstractNumId w:val="2"/>
  </w:num>
  <w:num w:numId="3" w16cid:durableId="14593740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516"/>
    <w:rsid w:val="00081FCB"/>
    <w:rsid w:val="0052033D"/>
    <w:rsid w:val="00615703"/>
    <w:rsid w:val="00905516"/>
    <w:rsid w:val="00CD68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914B6"/>
  <w15:chartTrackingRefBased/>
  <w15:docId w15:val="{E73FADB0-1184-4051-88FC-8C17507AA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0551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90551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905516"/>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905516"/>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905516"/>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905516"/>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905516"/>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905516"/>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905516"/>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5516"/>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905516"/>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905516"/>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905516"/>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905516"/>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905516"/>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905516"/>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905516"/>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905516"/>
    <w:rPr>
      <w:rFonts w:eastAsiaTheme="majorEastAsia" w:cstheme="majorBidi"/>
      <w:color w:val="272727" w:themeColor="text1" w:themeTint="D8"/>
    </w:rPr>
  </w:style>
  <w:style w:type="paragraph" w:styleId="Title">
    <w:name w:val="Title"/>
    <w:basedOn w:val="Normal"/>
    <w:next w:val="Normal"/>
    <w:link w:val="TitleChar"/>
    <w:uiPriority w:val="10"/>
    <w:qFormat/>
    <w:rsid w:val="00905516"/>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0551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05516"/>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905516"/>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905516"/>
    <w:pPr>
      <w:spacing w:before="160"/>
      <w:jc w:val="center"/>
    </w:pPr>
    <w:rPr>
      <w:i/>
      <w:iCs/>
      <w:color w:val="404040" w:themeColor="text1" w:themeTint="BF"/>
    </w:rPr>
  </w:style>
  <w:style w:type="character" w:customStyle="1" w:styleId="QuoteChar">
    <w:name w:val="Quote Char"/>
    <w:basedOn w:val="DefaultParagraphFont"/>
    <w:link w:val="Quote"/>
    <w:uiPriority w:val="29"/>
    <w:rsid w:val="00905516"/>
    <w:rPr>
      <w:i/>
      <w:iCs/>
      <w:color w:val="404040" w:themeColor="text1" w:themeTint="BF"/>
    </w:rPr>
  </w:style>
  <w:style w:type="paragraph" w:styleId="ListParagraph">
    <w:name w:val="List Paragraph"/>
    <w:basedOn w:val="Normal"/>
    <w:uiPriority w:val="34"/>
    <w:qFormat/>
    <w:rsid w:val="00905516"/>
    <w:pPr>
      <w:ind w:left="720"/>
      <w:contextualSpacing/>
    </w:pPr>
  </w:style>
  <w:style w:type="character" w:styleId="IntenseEmphasis">
    <w:name w:val="Intense Emphasis"/>
    <w:basedOn w:val="DefaultParagraphFont"/>
    <w:uiPriority w:val="21"/>
    <w:qFormat/>
    <w:rsid w:val="00905516"/>
    <w:rPr>
      <w:i/>
      <w:iCs/>
      <w:color w:val="0F4761" w:themeColor="accent1" w:themeShade="BF"/>
    </w:rPr>
  </w:style>
  <w:style w:type="paragraph" w:styleId="IntenseQuote">
    <w:name w:val="Intense Quote"/>
    <w:basedOn w:val="Normal"/>
    <w:next w:val="Normal"/>
    <w:link w:val="IntenseQuoteChar"/>
    <w:uiPriority w:val="30"/>
    <w:qFormat/>
    <w:rsid w:val="0090551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905516"/>
    <w:rPr>
      <w:i/>
      <w:iCs/>
      <w:color w:val="0F4761" w:themeColor="accent1" w:themeShade="BF"/>
    </w:rPr>
  </w:style>
  <w:style w:type="character" w:styleId="IntenseReference">
    <w:name w:val="Intense Reference"/>
    <w:basedOn w:val="DefaultParagraphFont"/>
    <w:uiPriority w:val="32"/>
    <w:qFormat/>
    <w:rsid w:val="00905516"/>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266</Words>
  <Characters>1517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Magno</dc:creator>
  <cp:keywords/>
  <dc:description/>
  <cp:lastModifiedBy>Tina Magno</cp:lastModifiedBy>
  <cp:revision>1</cp:revision>
  <cp:lastPrinted>2024-03-19T13:21:00Z</cp:lastPrinted>
  <dcterms:created xsi:type="dcterms:W3CDTF">2024-03-19T12:57:00Z</dcterms:created>
  <dcterms:modified xsi:type="dcterms:W3CDTF">2024-03-19T13:42:00Z</dcterms:modified>
</cp:coreProperties>
</file>