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925A8D" w14:textId="77777777" w:rsidR="00A11298" w:rsidRDefault="00A11298" w:rsidP="00A11298">
      <w:pPr>
        <w:spacing w:after="0" w:line="240" w:lineRule="auto"/>
        <w:jc w:val="center"/>
        <w:rPr>
          <w:b/>
          <w:sz w:val="28"/>
          <w:szCs w:val="28"/>
        </w:rPr>
      </w:pPr>
    </w:p>
    <w:p w14:paraId="00A8C891" w14:textId="77777777" w:rsidR="00A11298" w:rsidRPr="00A45770" w:rsidRDefault="00A11298" w:rsidP="00A45770">
      <w:pPr>
        <w:tabs>
          <w:tab w:val="left" w:pos="900"/>
        </w:tabs>
        <w:spacing w:after="0" w:line="240" w:lineRule="auto"/>
        <w:ind w:left="900" w:hanging="900"/>
        <w:rPr>
          <w:rFonts w:cstheme="minorHAnsi"/>
        </w:rPr>
      </w:pPr>
      <w:r w:rsidRPr="00A45770">
        <w:rPr>
          <w:rFonts w:cstheme="minorHAnsi"/>
        </w:rPr>
        <w:t>Present</w:t>
      </w:r>
      <w:r w:rsidR="006C1487" w:rsidRPr="00A45770">
        <w:rPr>
          <w:rFonts w:cstheme="minorHAnsi"/>
        </w:rPr>
        <w:t xml:space="preserve">: </w:t>
      </w:r>
      <w:r w:rsidR="00B623F7" w:rsidRPr="00A45770">
        <w:rPr>
          <w:rFonts w:cstheme="minorHAnsi"/>
        </w:rPr>
        <w:t xml:space="preserve"> </w:t>
      </w:r>
      <w:r w:rsidRPr="00A45770">
        <w:rPr>
          <w:rFonts w:cstheme="minorHAnsi"/>
        </w:rPr>
        <w:t xml:space="preserve">Maureen Booth, </w:t>
      </w:r>
      <w:r w:rsidR="00A96EE1" w:rsidRPr="00A45770">
        <w:rPr>
          <w:rFonts w:cstheme="minorHAnsi"/>
        </w:rPr>
        <w:t xml:space="preserve">Barbara Cree, </w:t>
      </w:r>
      <w:r w:rsidRPr="00A45770">
        <w:rPr>
          <w:rFonts w:cstheme="minorHAnsi"/>
        </w:rPr>
        <w:t>Peggy Muir</w:t>
      </w:r>
      <w:r w:rsidR="00B749F1">
        <w:rPr>
          <w:rFonts w:cstheme="minorHAnsi"/>
        </w:rPr>
        <w:t xml:space="preserve"> a</w:t>
      </w:r>
      <w:r w:rsidR="00B623F7" w:rsidRPr="00A45770">
        <w:rPr>
          <w:rFonts w:cstheme="minorHAnsi"/>
        </w:rPr>
        <w:t xml:space="preserve">nd </w:t>
      </w:r>
      <w:r w:rsidRPr="00A45770">
        <w:rPr>
          <w:rFonts w:cstheme="minorHAnsi"/>
        </w:rPr>
        <w:t>Gracia Woodward</w:t>
      </w:r>
    </w:p>
    <w:p w14:paraId="66230105" w14:textId="77777777" w:rsidR="00B623F7" w:rsidRPr="00A45770" w:rsidRDefault="007D46EA" w:rsidP="00A45770">
      <w:pPr>
        <w:tabs>
          <w:tab w:val="left" w:pos="900"/>
        </w:tabs>
        <w:spacing w:after="0" w:line="240" w:lineRule="auto"/>
        <w:ind w:left="900" w:hanging="900"/>
        <w:rPr>
          <w:rFonts w:cstheme="minorHAnsi"/>
        </w:rPr>
      </w:pPr>
      <w:r w:rsidRPr="00A45770">
        <w:rPr>
          <w:rFonts w:cstheme="minorHAnsi"/>
        </w:rPr>
        <w:t>Absent:</w:t>
      </w:r>
      <w:r w:rsidR="00B623F7" w:rsidRPr="00A45770">
        <w:rPr>
          <w:rFonts w:cstheme="minorHAnsi"/>
        </w:rPr>
        <w:t xml:space="preserve"> </w:t>
      </w:r>
      <w:r w:rsidR="006C1487" w:rsidRPr="00A45770">
        <w:rPr>
          <w:rFonts w:cstheme="minorHAnsi"/>
        </w:rPr>
        <w:t xml:space="preserve"> Pam Blaine, Andy Campbell </w:t>
      </w:r>
      <w:r w:rsidR="00B749F1">
        <w:rPr>
          <w:rFonts w:cstheme="minorHAnsi"/>
        </w:rPr>
        <w:t>and Patricia Oh</w:t>
      </w:r>
    </w:p>
    <w:p w14:paraId="67EB0C4F" w14:textId="77777777" w:rsidR="00B623F7" w:rsidRPr="00A45770" w:rsidRDefault="00B623F7" w:rsidP="00A45770">
      <w:pPr>
        <w:tabs>
          <w:tab w:val="left" w:pos="900"/>
        </w:tabs>
        <w:spacing w:after="0" w:line="240" w:lineRule="auto"/>
        <w:ind w:left="900" w:hanging="900"/>
        <w:rPr>
          <w:rFonts w:cstheme="minorHAnsi"/>
        </w:rPr>
      </w:pPr>
      <w:r w:rsidRPr="00A45770">
        <w:rPr>
          <w:rFonts w:cstheme="minorHAnsi"/>
        </w:rPr>
        <w:t xml:space="preserve">Guest: </w:t>
      </w:r>
      <w:r w:rsidR="006E59DA">
        <w:rPr>
          <w:rFonts w:cstheme="minorHAnsi"/>
        </w:rPr>
        <w:t>Martha Cushing and Tracy Quimby</w:t>
      </w:r>
    </w:p>
    <w:p w14:paraId="3F4422CB" w14:textId="77777777" w:rsidR="006C1487" w:rsidRPr="00A45770" w:rsidRDefault="00CB1C13" w:rsidP="00237BD6">
      <w:pPr>
        <w:tabs>
          <w:tab w:val="left" w:pos="900"/>
        </w:tabs>
        <w:spacing w:after="240" w:line="240" w:lineRule="auto"/>
        <w:ind w:left="907" w:hanging="907"/>
        <w:rPr>
          <w:rFonts w:cstheme="minorHAnsi"/>
        </w:rPr>
      </w:pPr>
      <w:r w:rsidRPr="00A45770">
        <w:rPr>
          <w:rFonts w:cstheme="minorHAnsi"/>
        </w:rPr>
        <w:t xml:space="preserve">Town staff: </w:t>
      </w:r>
      <w:r w:rsidR="00A96EE1" w:rsidRPr="00A45770">
        <w:rPr>
          <w:rFonts w:cstheme="minorHAnsi"/>
        </w:rPr>
        <w:t>Mason Griffin</w:t>
      </w:r>
    </w:p>
    <w:tbl>
      <w:tblPr>
        <w:tblStyle w:val="TableGrid"/>
        <w:tblW w:w="0" w:type="auto"/>
        <w:tblInd w:w="108" w:type="dxa"/>
        <w:tblLook w:val="04A0" w:firstRow="1" w:lastRow="0" w:firstColumn="1" w:lastColumn="0" w:noHBand="0" w:noVBand="1"/>
      </w:tblPr>
      <w:tblGrid>
        <w:gridCol w:w="5790"/>
        <w:gridCol w:w="3452"/>
      </w:tblGrid>
      <w:tr w:rsidR="00A11298" w:rsidRPr="00A45770" w14:paraId="5D945684" w14:textId="77777777" w:rsidTr="0007604D">
        <w:trPr>
          <w:cantSplit/>
          <w:tblHeader/>
        </w:trPr>
        <w:tc>
          <w:tcPr>
            <w:tcW w:w="5940" w:type="dxa"/>
          </w:tcPr>
          <w:p w14:paraId="33F79565" w14:textId="77777777" w:rsidR="00A11298" w:rsidRPr="00A45770" w:rsidRDefault="00A11298" w:rsidP="00A45770">
            <w:pPr>
              <w:tabs>
                <w:tab w:val="left" w:pos="900"/>
              </w:tabs>
              <w:jc w:val="center"/>
              <w:rPr>
                <w:rFonts w:cstheme="minorHAnsi"/>
                <w:b/>
              </w:rPr>
            </w:pPr>
            <w:r w:rsidRPr="00A45770">
              <w:rPr>
                <w:rFonts w:cstheme="minorHAnsi"/>
                <w:b/>
              </w:rPr>
              <w:t>Topic</w:t>
            </w:r>
          </w:p>
        </w:tc>
        <w:tc>
          <w:tcPr>
            <w:tcW w:w="3528" w:type="dxa"/>
          </w:tcPr>
          <w:p w14:paraId="3C2B20C1" w14:textId="77777777" w:rsidR="00A11298" w:rsidRPr="00A45770" w:rsidRDefault="00F41702" w:rsidP="00A45770">
            <w:pPr>
              <w:tabs>
                <w:tab w:val="left" w:pos="900"/>
              </w:tabs>
              <w:jc w:val="center"/>
              <w:rPr>
                <w:rFonts w:cstheme="minorHAnsi"/>
                <w:b/>
              </w:rPr>
            </w:pPr>
            <w:r w:rsidRPr="00A45770">
              <w:rPr>
                <w:rFonts w:cstheme="minorHAnsi"/>
                <w:b/>
              </w:rPr>
              <w:t xml:space="preserve">Follow-Up </w:t>
            </w:r>
            <w:r w:rsidR="00A11298" w:rsidRPr="00A45770">
              <w:rPr>
                <w:rFonts w:cstheme="minorHAnsi"/>
                <w:b/>
              </w:rPr>
              <w:t>Action</w:t>
            </w:r>
          </w:p>
        </w:tc>
      </w:tr>
      <w:tr w:rsidR="006F2D32" w:rsidRPr="00A45770" w14:paraId="770087F9" w14:textId="77777777" w:rsidTr="006F2D32">
        <w:tc>
          <w:tcPr>
            <w:tcW w:w="9468" w:type="dxa"/>
            <w:gridSpan w:val="2"/>
            <w:shd w:val="clear" w:color="auto" w:fill="D9D9D9" w:themeFill="background1" w:themeFillShade="D9"/>
          </w:tcPr>
          <w:p w14:paraId="1EC7EDF5" w14:textId="77777777" w:rsidR="006F2D32" w:rsidRPr="00A45770" w:rsidRDefault="006F2D32" w:rsidP="00A45770">
            <w:pPr>
              <w:tabs>
                <w:tab w:val="left" w:pos="900"/>
              </w:tabs>
              <w:rPr>
                <w:rFonts w:cstheme="minorHAnsi"/>
                <w:b/>
              </w:rPr>
            </w:pPr>
            <w:r w:rsidRPr="00A45770">
              <w:rPr>
                <w:rFonts w:cstheme="minorHAnsi"/>
                <w:b/>
              </w:rPr>
              <w:t>Introductions</w:t>
            </w:r>
          </w:p>
        </w:tc>
      </w:tr>
      <w:tr w:rsidR="00843904" w:rsidRPr="00A45770" w14:paraId="783170E8" w14:textId="77777777" w:rsidTr="006A0958">
        <w:tc>
          <w:tcPr>
            <w:tcW w:w="5940" w:type="dxa"/>
          </w:tcPr>
          <w:p w14:paraId="6A6D4F98" w14:textId="77777777" w:rsidR="00843904" w:rsidRPr="00A45770" w:rsidRDefault="00843904" w:rsidP="006E59DA">
            <w:pPr>
              <w:tabs>
                <w:tab w:val="left" w:pos="900"/>
              </w:tabs>
              <w:spacing w:before="120" w:after="120"/>
              <w:rPr>
                <w:rFonts w:cstheme="minorHAnsi"/>
              </w:rPr>
            </w:pPr>
            <w:r w:rsidRPr="00A45770">
              <w:rPr>
                <w:rFonts w:cstheme="minorHAnsi"/>
              </w:rPr>
              <w:t xml:space="preserve">A quorum was established.  </w:t>
            </w:r>
          </w:p>
        </w:tc>
        <w:tc>
          <w:tcPr>
            <w:tcW w:w="3528" w:type="dxa"/>
            <w:vMerge w:val="restart"/>
          </w:tcPr>
          <w:p w14:paraId="7E936909" w14:textId="77777777" w:rsidR="00843904" w:rsidRPr="00A45770" w:rsidRDefault="00843904" w:rsidP="00A45770">
            <w:pPr>
              <w:tabs>
                <w:tab w:val="left" w:pos="900"/>
              </w:tabs>
              <w:rPr>
                <w:rFonts w:cstheme="minorHAnsi"/>
              </w:rPr>
            </w:pPr>
          </w:p>
        </w:tc>
      </w:tr>
      <w:tr w:rsidR="00843904" w:rsidRPr="00A45770" w14:paraId="4B493AEA" w14:textId="77777777" w:rsidTr="006A0958">
        <w:tc>
          <w:tcPr>
            <w:tcW w:w="5940" w:type="dxa"/>
          </w:tcPr>
          <w:p w14:paraId="1BC57130" w14:textId="77777777" w:rsidR="00843904" w:rsidRPr="00A45770" w:rsidRDefault="00843904" w:rsidP="00237BD6">
            <w:pPr>
              <w:tabs>
                <w:tab w:val="left" w:pos="900"/>
              </w:tabs>
              <w:spacing w:after="120"/>
              <w:rPr>
                <w:rFonts w:cstheme="minorHAnsi"/>
              </w:rPr>
            </w:pPr>
            <w:r w:rsidRPr="00A45770">
              <w:rPr>
                <w:rFonts w:cstheme="minorHAnsi"/>
              </w:rPr>
              <w:t xml:space="preserve">Members gave an update on their wellbeing during the </w:t>
            </w:r>
            <w:proofErr w:type="gramStart"/>
            <w:r w:rsidRPr="00A45770">
              <w:rPr>
                <w:rFonts w:cstheme="minorHAnsi"/>
              </w:rPr>
              <w:t>pandemic</w:t>
            </w:r>
            <w:r w:rsidR="00330439" w:rsidRPr="00A45770">
              <w:rPr>
                <w:rFonts w:cstheme="minorHAnsi"/>
              </w:rPr>
              <w:t xml:space="preserve"> </w:t>
            </w:r>
            <w:r w:rsidR="00237BD6">
              <w:rPr>
                <w:rFonts w:cstheme="minorHAnsi"/>
              </w:rPr>
              <w:t>.</w:t>
            </w:r>
            <w:proofErr w:type="gramEnd"/>
          </w:p>
        </w:tc>
        <w:tc>
          <w:tcPr>
            <w:tcW w:w="3528" w:type="dxa"/>
            <w:vMerge/>
          </w:tcPr>
          <w:p w14:paraId="0094107D" w14:textId="77777777" w:rsidR="00843904" w:rsidRPr="00A45770" w:rsidRDefault="00843904" w:rsidP="00A45770">
            <w:pPr>
              <w:tabs>
                <w:tab w:val="left" w:pos="900"/>
              </w:tabs>
              <w:rPr>
                <w:rFonts w:cstheme="minorHAnsi"/>
              </w:rPr>
            </w:pPr>
          </w:p>
        </w:tc>
      </w:tr>
      <w:tr w:rsidR="00843904" w:rsidRPr="00A45770" w14:paraId="53C0FF80" w14:textId="77777777" w:rsidTr="006A0958">
        <w:tc>
          <w:tcPr>
            <w:tcW w:w="5940" w:type="dxa"/>
          </w:tcPr>
          <w:p w14:paraId="536602FE" w14:textId="77777777" w:rsidR="00843904" w:rsidRPr="00A45770" w:rsidRDefault="00843904" w:rsidP="00D312B4">
            <w:pPr>
              <w:tabs>
                <w:tab w:val="left" w:pos="900"/>
              </w:tabs>
              <w:spacing w:after="120"/>
              <w:rPr>
                <w:rFonts w:cstheme="minorHAnsi"/>
              </w:rPr>
            </w:pPr>
            <w:r w:rsidRPr="00A45770">
              <w:rPr>
                <w:rFonts w:cstheme="minorHAnsi"/>
              </w:rPr>
              <w:t xml:space="preserve">Gracia </w:t>
            </w:r>
            <w:r w:rsidR="006E59DA">
              <w:rPr>
                <w:rFonts w:cstheme="minorHAnsi"/>
              </w:rPr>
              <w:t xml:space="preserve">noted that Jo Werther has expressed interest in joining ACOA but </w:t>
            </w:r>
            <w:r w:rsidR="00D312B4">
              <w:rPr>
                <w:rFonts w:cstheme="minorHAnsi"/>
              </w:rPr>
              <w:t xml:space="preserve">currently </w:t>
            </w:r>
            <w:r w:rsidR="006E59DA">
              <w:rPr>
                <w:rFonts w:cstheme="minorHAnsi"/>
              </w:rPr>
              <w:t>has work conflicts during our meeting times.</w:t>
            </w:r>
          </w:p>
        </w:tc>
        <w:tc>
          <w:tcPr>
            <w:tcW w:w="3528" w:type="dxa"/>
            <w:vMerge/>
          </w:tcPr>
          <w:p w14:paraId="0B8DA35E" w14:textId="77777777" w:rsidR="00843904" w:rsidRPr="00A45770" w:rsidRDefault="00843904" w:rsidP="00A45770">
            <w:pPr>
              <w:tabs>
                <w:tab w:val="left" w:pos="900"/>
              </w:tabs>
              <w:rPr>
                <w:rFonts w:cstheme="minorHAnsi"/>
              </w:rPr>
            </w:pPr>
          </w:p>
        </w:tc>
      </w:tr>
      <w:tr w:rsidR="006F2D32" w:rsidRPr="00A45770" w14:paraId="3713F624" w14:textId="77777777" w:rsidTr="006F2D32">
        <w:tc>
          <w:tcPr>
            <w:tcW w:w="9468" w:type="dxa"/>
            <w:gridSpan w:val="2"/>
            <w:shd w:val="clear" w:color="auto" w:fill="D9D9D9" w:themeFill="background1" w:themeFillShade="D9"/>
          </w:tcPr>
          <w:p w14:paraId="2E16ADBD" w14:textId="77777777" w:rsidR="006F2D32" w:rsidRPr="00A45770" w:rsidRDefault="006F2D32" w:rsidP="00A45770">
            <w:pPr>
              <w:tabs>
                <w:tab w:val="left" w:pos="900"/>
              </w:tabs>
              <w:rPr>
                <w:rFonts w:cstheme="minorHAnsi"/>
                <w:b/>
              </w:rPr>
            </w:pPr>
            <w:r w:rsidRPr="00A45770">
              <w:rPr>
                <w:rFonts w:cstheme="minorHAnsi"/>
                <w:b/>
              </w:rPr>
              <w:t>Approval of Minutes</w:t>
            </w:r>
          </w:p>
        </w:tc>
      </w:tr>
      <w:tr w:rsidR="006F2D32" w:rsidRPr="00A45770" w14:paraId="72411D88" w14:textId="77777777" w:rsidTr="00843904">
        <w:tc>
          <w:tcPr>
            <w:tcW w:w="5940" w:type="dxa"/>
          </w:tcPr>
          <w:p w14:paraId="13D68BB0" w14:textId="77777777" w:rsidR="006F2D32" w:rsidRPr="00A45770" w:rsidRDefault="006F2D32" w:rsidP="006E59DA">
            <w:pPr>
              <w:tabs>
                <w:tab w:val="left" w:pos="900"/>
              </w:tabs>
              <w:spacing w:before="120" w:after="120"/>
              <w:rPr>
                <w:rFonts w:cstheme="minorHAnsi"/>
              </w:rPr>
            </w:pPr>
            <w:r w:rsidRPr="00A45770">
              <w:rPr>
                <w:rFonts w:cstheme="minorHAnsi"/>
              </w:rPr>
              <w:t xml:space="preserve">The </w:t>
            </w:r>
            <w:r w:rsidR="006E59DA">
              <w:rPr>
                <w:rFonts w:cstheme="minorHAnsi"/>
              </w:rPr>
              <w:t>January 11, 2021</w:t>
            </w:r>
            <w:r w:rsidRPr="00A45770">
              <w:rPr>
                <w:rFonts w:cstheme="minorHAnsi"/>
              </w:rPr>
              <w:t xml:space="preserve"> minutes were </w:t>
            </w:r>
            <w:r w:rsidR="006E59DA">
              <w:rPr>
                <w:rFonts w:cstheme="minorHAnsi"/>
              </w:rPr>
              <w:t xml:space="preserve">not distributed in advance of the meeting; approval was postponed until our March meeting. </w:t>
            </w:r>
          </w:p>
        </w:tc>
        <w:tc>
          <w:tcPr>
            <w:tcW w:w="3528" w:type="dxa"/>
          </w:tcPr>
          <w:p w14:paraId="28B992CA" w14:textId="77777777" w:rsidR="006F2D32" w:rsidRPr="00A45770" w:rsidRDefault="006E59DA" w:rsidP="006E59DA">
            <w:pPr>
              <w:tabs>
                <w:tab w:val="left" w:pos="900"/>
              </w:tabs>
              <w:rPr>
                <w:rFonts w:cstheme="minorHAnsi"/>
              </w:rPr>
            </w:pPr>
            <w:r>
              <w:rPr>
                <w:rFonts w:cstheme="minorHAnsi"/>
              </w:rPr>
              <w:t>Include a review of the 1-11-21 minutes at the March meeting.</w:t>
            </w:r>
          </w:p>
        </w:tc>
      </w:tr>
      <w:tr w:rsidR="00540FFD" w:rsidRPr="00A45770" w14:paraId="520B78D5" w14:textId="77777777" w:rsidTr="006A0958">
        <w:tc>
          <w:tcPr>
            <w:tcW w:w="9468" w:type="dxa"/>
            <w:gridSpan w:val="2"/>
            <w:shd w:val="clear" w:color="auto" w:fill="D9D9D9" w:themeFill="background1" w:themeFillShade="D9"/>
          </w:tcPr>
          <w:p w14:paraId="4716D58E" w14:textId="77777777" w:rsidR="00540FFD" w:rsidRPr="00A45770" w:rsidRDefault="00540FFD" w:rsidP="00A45770">
            <w:pPr>
              <w:tabs>
                <w:tab w:val="left" w:pos="900"/>
              </w:tabs>
              <w:rPr>
                <w:rFonts w:cstheme="minorHAnsi"/>
              </w:rPr>
            </w:pPr>
            <w:r w:rsidRPr="00A45770">
              <w:rPr>
                <w:rFonts w:cstheme="minorHAnsi"/>
                <w:b/>
              </w:rPr>
              <w:t>Updates</w:t>
            </w:r>
            <w:r w:rsidR="00B623F7" w:rsidRPr="00A45770">
              <w:rPr>
                <w:rFonts w:cstheme="minorHAnsi"/>
                <w:b/>
              </w:rPr>
              <w:t xml:space="preserve"> on Old Business</w:t>
            </w:r>
          </w:p>
        </w:tc>
      </w:tr>
      <w:tr w:rsidR="00264D8A" w:rsidRPr="00A45770" w14:paraId="0D467B74" w14:textId="77777777" w:rsidTr="00264D8A">
        <w:tc>
          <w:tcPr>
            <w:tcW w:w="9468" w:type="dxa"/>
            <w:gridSpan w:val="2"/>
          </w:tcPr>
          <w:p w14:paraId="1D2771D3" w14:textId="77777777" w:rsidR="00264D8A" w:rsidRPr="00A45770" w:rsidRDefault="00330439" w:rsidP="00A45770">
            <w:pPr>
              <w:tabs>
                <w:tab w:val="left" w:pos="900"/>
              </w:tabs>
              <w:rPr>
                <w:rFonts w:cstheme="minorHAnsi"/>
                <w:b/>
                <w:i/>
              </w:rPr>
            </w:pPr>
            <w:r w:rsidRPr="00A45770">
              <w:rPr>
                <w:rFonts w:cstheme="minorHAnsi"/>
                <w:b/>
                <w:i/>
              </w:rPr>
              <w:t>Calls to Bowdoinham Residents Over 75 Years of Age</w:t>
            </w:r>
          </w:p>
        </w:tc>
      </w:tr>
      <w:tr w:rsidR="00540FFD" w:rsidRPr="00A45770" w14:paraId="65C04BE3" w14:textId="77777777" w:rsidTr="006D3618">
        <w:tc>
          <w:tcPr>
            <w:tcW w:w="5940" w:type="dxa"/>
          </w:tcPr>
          <w:p w14:paraId="63FAD5C6" w14:textId="77777777" w:rsidR="00C664AD" w:rsidRPr="00A45770" w:rsidRDefault="006E59DA" w:rsidP="00FA1A9B">
            <w:pPr>
              <w:tabs>
                <w:tab w:val="left" w:pos="900"/>
              </w:tabs>
              <w:spacing w:before="120" w:after="120"/>
              <w:rPr>
                <w:rFonts w:cstheme="minorHAnsi"/>
              </w:rPr>
            </w:pPr>
            <w:r>
              <w:rPr>
                <w:rFonts w:cstheme="minorHAnsi"/>
              </w:rPr>
              <w:t xml:space="preserve">Gracia reported that calls to residents </w:t>
            </w:r>
            <w:r w:rsidR="00BF520B">
              <w:rPr>
                <w:rFonts w:cstheme="minorHAnsi"/>
              </w:rPr>
              <w:t>&gt;</w:t>
            </w:r>
            <w:r>
              <w:rPr>
                <w:rFonts w:cstheme="minorHAnsi"/>
              </w:rPr>
              <w:t>75</w:t>
            </w:r>
            <w:r w:rsidR="00BF520B">
              <w:rPr>
                <w:rFonts w:cstheme="minorHAnsi"/>
              </w:rPr>
              <w:t xml:space="preserve"> continue to be made by ACOA members.  </w:t>
            </w:r>
          </w:p>
        </w:tc>
        <w:tc>
          <w:tcPr>
            <w:tcW w:w="3528" w:type="dxa"/>
          </w:tcPr>
          <w:p w14:paraId="28E7F575" w14:textId="77777777" w:rsidR="00060B10" w:rsidRPr="00A45770" w:rsidRDefault="00BF520B" w:rsidP="00A45770">
            <w:pPr>
              <w:tabs>
                <w:tab w:val="left" w:pos="900"/>
              </w:tabs>
              <w:rPr>
                <w:rFonts w:cstheme="minorHAnsi"/>
              </w:rPr>
            </w:pPr>
            <w:r>
              <w:rPr>
                <w:rFonts w:cstheme="minorHAnsi"/>
              </w:rPr>
              <w:t>Members encouraged to continue these calls.</w:t>
            </w:r>
          </w:p>
        </w:tc>
      </w:tr>
      <w:tr w:rsidR="00866A67" w:rsidRPr="00A45770" w14:paraId="45CB0D31" w14:textId="77777777" w:rsidTr="00C36817">
        <w:tc>
          <w:tcPr>
            <w:tcW w:w="9468" w:type="dxa"/>
            <w:gridSpan w:val="2"/>
          </w:tcPr>
          <w:p w14:paraId="1D2C411F" w14:textId="77777777" w:rsidR="00866A67" w:rsidRPr="00A45770" w:rsidRDefault="00BF520B" w:rsidP="00A45770">
            <w:pPr>
              <w:tabs>
                <w:tab w:val="left" w:pos="900"/>
              </w:tabs>
              <w:rPr>
                <w:rFonts w:cstheme="minorHAnsi"/>
                <w:b/>
                <w:i/>
              </w:rPr>
            </w:pPr>
            <w:r>
              <w:rPr>
                <w:rFonts w:cstheme="minorHAnsi"/>
                <w:b/>
                <w:i/>
              </w:rPr>
              <w:t>Update on Town/Library Maine Humanities Council Mini Grant</w:t>
            </w:r>
          </w:p>
        </w:tc>
      </w:tr>
      <w:tr w:rsidR="00866A67" w:rsidRPr="00A45770" w14:paraId="2CAD4B7F" w14:textId="77777777" w:rsidTr="006D3618">
        <w:tc>
          <w:tcPr>
            <w:tcW w:w="5940" w:type="dxa"/>
          </w:tcPr>
          <w:p w14:paraId="19C5DCDB" w14:textId="77777777" w:rsidR="00866A67" w:rsidRDefault="00BF520B" w:rsidP="00BF520B">
            <w:pPr>
              <w:tabs>
                <w:tab w:val="left" w:pos="900"/>
              </w:tabs>
              <w:spacing w:before="120" w:after="120"/>
              <w:rPr>
                <w:rFonts w:cstheme="minorHAnsi"/>
              </w:rPr>
            </w:pPr>
            <w:r>
              <w:rPr>
                <w:rFonts w:cstheme="minorHAnsi"/>
              </w:rPr>
              <w:t>Maureen reported that the first phase of this grant – the redesign of the Library website – is completed.  The new design is more accessible and has a prominent feature of online events and programs.  Efforts are underway to create regular feeds from major sponsors, such as the Maine Public Library, to populate the events section of the website.</w:t>
            </w:r>
          </w:p>
          <w:p w14:paraId="56B67F0B" w14:textId="77777777" w:rsidR="00BF520B" w:rsidRPr="00A45770" w:rsidRDefault="00BF520B" w:rsidP="00BF520B">
            <w:pPr>
              <w:tabs>
                <w:tab w:val="left" w:pos="900"/>
              </w:tabs>
              <w:spacing w:before="120" w:after="120"/>
              <w:rPr>
                <w:rFonts w:cstheme="minorHAnsi"/>
              </w:rPr>
            </w:pPr>
            <w:r>
              <w:rPr>
                <w:rFonts w:cstheme="minorHAnsi"/>
              </w:rPr>
              <w:t>An in-person program was to be scheduled in January 2021 to train 6-8 volunteers on methods for teaching adult learners how to use their digital devices.  Due to the pandemic, this portion of the grant is being postponed until in-person training can take place.  To accommodate this change in schedule, the Maine Humanities Council approved an extension of the grant until March 1, 2022.</w:t>
            </w:r>
          </w:p>
        </w:tc>
        <w:tc>
          <w:tcPr>
            <w:tcW w:w="3528" w:type="dxa"/>
          </w:tcPr>
          <w:p w14:paraId="3234BFC2" w14:textId="77777777" w:rsidR="00866A67" w:rsidRPr="00A45770" w:rsidRDefault="00BF520B" w:rsidP="00A45770">
            <w:pPr>
              <w:tabs>
                <w:tab w:val="left" w:pos="900"/>
              </w:tabs>
              <w:rPr>
                <w:rFonts w:cstheme="minorHAnsi"/>
              </w:rPr>
            </w:pPr>
            <w:r>
              <w:rPr>
                <w:rFonts w:cstheme="minorHAnsi"/>
              </w:rPr>
              <w:t>No follow up action required.</w:t>
            </w:r>
          </w:p>
        </w:tc>
      </w:tr>
    </w:tbl>
    <w:p w14:paraId="0F360EB2" w14:textId="77777777" w:rsidR="00BF520B" w:rsidRDefault="00BF520B">
      <w:r>
        <w:br w:type="page"/>
      </w:r>
    </w:p>
    <w:tbl>
      <w:tblPr>
        <w:tblStyle w:val="TableGrid"/>
        <w:tblW w:w="0" w:type="auto"/>
        <w:tblInd w:w="108" w:type="dxa"/>
        <w:tblLook w:val="04A0" w:firstRow="1" w:lastRow="0" w:firstColumn="1" w:lastColumn="0" w:noHBand="0" w:noVBand="1"/>
      </w:tblPr>
      <w:tblGrid>
        <w:gridCol w:w="5794"/>
        <w:gridCol w:w="3448"/>
      </w:tblGrid>
      <w:tr w:rsidR="00BF520B" w:rsidRPr="00A45770" w14:paraId="2D50BF02" w14:textId="77777777" w:rsidTr="00BF520B">
        <w:trPr>
          <w:cantSplit/>
          <w:tblHeader/>
        </w:trPr>
        <w:tc>
          <w:tcPr>
            <w:tcW w:w="5940" w:type="dxa"/>
          </w:tcPr>
          <w:p w14:paraId="27DE880D" w14:textId="77777777" w:rsidR="00BF520B" w:rsidRPr="00A45770" w:rsidRDefault="00BF520B" w:rsidP="00BF520B">
            <w:pPr>
              <w:tabs>
                <w:tab w:val="left" w:pos="900"/>
              </w:tabs>
              <w:jc w:val="center"/>
              <w:rPr>
                <w:rFonts w:cstheme="minorHAnsi"/>
                <w:b/>
              </w:rPr>
            </w:pPr>
            <w:r w:rsidRPr="00A45770">
              <w:rPr>
                <w:rFonts w:cstheme="minorHAnsi"/>
                <w:b/>
              </w:rPr>
              <w:lastRenderedPageBreak/>
              <w:t>Topic</w:t>
            </w:r>
          </w:p>
        </w:tc>
        <w:tc>
          <w:tcPr>
            <w:tcW w:w="3528" w:type="dxa"/>
          </w:tcPr>
          <w:p w14:paraId="1F1615D8" w14:textId="77777777" w:rsidR="00BF520B" w:rsidRPr="00A45770" w:rsidRDefault="00BF520B" w:rsidP="00BF520B">
            <w:pPr>
              <w:tabs>
                <w:tab w:val="left" w:pos="900"/>
              </w:tabs>
              <w:jc w:val="center"/>
              <w:rPr>
                <w:rFonts w:cstheme="minorHAnsi"/>
                <w:b/>
              </w:rPr>
            </w:pPr>
            <w:r w:rsidRPr="00A45770">
              <w:rPr>
                <w:rFonts w:cstheme="minorHAnsi"/>
                <w:b/>
              </w:rPr>
              <w:t>Follow-Up Action</w:t>
            </w:r>
          </w:p>
        </w:tc>
      </w:tr>
      <w:tr w:rsidR="00FB5649" w:rsidRPr="00A45770" w14:paraId="15244F48" w14:textId="77777777" w:rsidTr="00330439">
        <w:tc>
          <w:tcPr>
            <w:tcW w:w="9468" w:type="dxa"/>
            <w:gridSpan w:val="2"/>
            <w:shd w:val="clear" w:color="auto" w:fill="BFBFBF" w:themeFill="background1" w:themeFillShade="BF"/>
          </w:tcPr>
          <w:p w14:paraId="0DBC8AC5" w14:textId="77777777" w:rsidR="00FB5649" w:rsidRPr="00A45770" w:rsidRDefault="00330439" w:rsidP="00A45770">
            <w:pPr>
              <w:tabs>
                <w:tab w:val="left" w:pos="900"/>
              </w:tabs>
              <w:rPr>
                <w:rFonts w:cstheme="minorHAnsi"/>
                <w:b/>
              </w:rPr>
            </w:pPr>
            <w:r w:rsidRPr="00A45770">
              <w:rPr>
                <w:rFonts w:cstheme="minorHAnsi"/>
                <w:b/>
              </w:rPr>
              <w:t>New Business</w:t>
            </w:r>
          </w:p>
        </w:tc>
      </w:tr>
      <w:tr w:rsidR="00F41702" w:rsidRPr="00A45770" w14:paraId="499D36AD" w14:textId="77777777" w:rsidTr="00044144">
        <w:tc>
          <w:tcPr>
            <w:tcW w:w="9468" w:type="dxa"/>
            <w:gridSpan w:val="2"/>
          </w:tcPr>
          <w:p w14:paraId="2D023AF9" w14:textId="77777777" w:rsidR="00F41702" w:rsidRPr="00A45770" w:rsidRDefault="00C16322" w:rsidP="00A45770">
            <w:pPr>
              <w:tabs>
                <w:tab w:val="left" w:pos="900"/>
              </w:tabs>
              <w:rPr>
                <w:rFonts w:cstheme="minorHAnsi"/>
                <w:b/>
                <w:i/>
              </w:rPr>
            </w:pPr>
            <w:r>
              <w:rPr>
                <w:rFonts w:cstheme="minorHAnsi"/>
                <w:b/>
                <w:i/>
              </w:rPr>
              <w:t>ACOA Budget</w:t>
            </w:r>
          </w:p>
        </w:tc>
      </w:tr>
      <w:tr w:rsidR="00FB5649" w:rsidRPr="00A45770" w14:paraId="71936015" w14:textId="77777777" w:rsidTr="00330439">
        <w:trPr>
          <w:trHeight w:val="1448"/>
        </w:trPr>
        <w:tc>
          <w:tcPr>
            <w:tcW w:w="5940" w:type="dxa"/>
          </w:tcPr>
          <w:p w14:paraId="2F476AFB" w14:textId="77777777" w:rsidR="00C16322" w:rsidRDefault="00C16322" w:rsidP="00C16322">
            <w:pPr>
              <w:pStyle w:val="NormalWeb"/>
              <w:shd w:val="clear" w:color="auto" w:fill="FFFFFF"/>
              <w:spacing w:before="120" w:beforeAutospacing="0" w:after="120" w:afterAutospacing="0"/>
              <w:textAlignment w:val="baseline"/>
              <w:rPr>
                <w:rFonts w:asciiTheme="minorHAnsi" w:hAnsiTheme="minorHAnsi" w:cstheme="minorHAnsi"/>
                <w:sz w:val="22"/>
                <w:szCs w:val="22"/>
              </w:rPr>
            </w:pPr>
            <w:r>
              <w:rPr>
                <w:rFonts w:asciiTheme="minorHAnsi" w:hAnsiTheme="minorHAnsi" w:cstheme="minorHAnsi"/>
                <w:sz w:val="22"/>
                <w:szCs w:val="22"/>
              </w:rPr>
              <w:t>Mason reviewed with the Committee its current budget:</w:t>
            </w:r>
          </w:p>
          <w:p w14:paraId="61DFFABF" w14:textId="77777777" w:rsidR="00C16322" w:rsidRDefault="00C16322" w:rsidP="00C16322">
            <w:pPr>
              <w:pStyle w:val="NormalWeb"/>
              <w:numPr>
                <w:ilvl w:val="0"/>
                <w:numId w:val="12"/>
              </w:numPr>
              <w:shd w:val="clear" w:color="auto" w:fill="FFFFFF"/>
              <w:spacing w:before="120" w:beforeAutospacing="0" w:after="120" w:afterAutospacing="0"/>
              <w:textAlignment w:val="baseline"/>
              <w:rPr>
                <w:rFonts w:asciiTheme="minorHAnsi" w:hAnsiTheme="minorHAnsi" w:cstheme="minorHAnsi"/>
                <w:sz w:val="22"/>
                <w:szCs w:val="22"/>
              </w:rPr>
            </w:pPr>
            <w:r>
              <w:rPr>
                <w:rFonts w:asciiTheme="minorHAnsi" w:hAnsiTheme="minorHAnsi" w:cstheme="minorHAnsi"/>
                <w:sz w:val="22"/>
                <w:szCs w:val="22"/>
              </w:rPr>
              <w:t>Approximately $2000 is available in general ledger funds. The purpose of these funds is to sponsor programs such as gentle yoga, lectures, and other activities. Mason plans to recommend an additional $1700 for FY 21/22.</w:t>
            </w:r>
          </w:p>
          <w:p w14:paraId="68A349E0" w14:textId="77777777" w:rsidR="00FB5649" w:rsidRDefault="00C16322" w:rsidP="00C16322">
            <w:pPr>
              <w:pStyle w:val="NormalWeb"/>
              <w:numPr>
                <w:ilvl w:val="0"/>
                <w:numId w:val="12"/>
              </w:numPr>
              <w:shd w:val="clear" w:color="auto" w:fill="FFFFFF"/>
              <w:spacing w:before="120" w:beforeAutospacing="0" w:after="12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Approximately $200 was appropriated in the current fiscal year for postage, supplies and other administrative expenses.  </w:t>
            </w:r>
          </w:p>
          <w:p w14:paraId="5B560412" w14:textId="77777777" w:rsidR="00C16322" w:rsidRPr="00A45770" w:rsidRDefault="00C16322" w:rsidP="00C16322">
            <w:pPr>
              <w:pStyle w:val="NormalWeb"/>
              <w:shd w:val="clear" w:color="auto" w:fill="FFFFFF"/>
              <w:spacing w:before="120" w:beforeAutospacing="0" w:after="120" w:afterAutospacing="0"/>
              <w:textAlignment w:val="baseline"/>
              <w:rPr>
                <w:rFonts w:asciiTheme="minorHAnsi" w:hAnsiTheme="minorHAnsi" w:cstheme="minorHAnsi"/>
                <w:sz w:val="22"/>
                <w:szCs w:val="22"/>
              </w:rPr>
            </w:pPr>
            <w:r>
              <w:rPr>
                <w:rFonts w:asciiTheme="minorHAnsi" w:hAnsiTheme="minorHAnsi" w:cstheme="minorHAnsi"/>
                <w:sz w:val="22"/>
                <w:szCs w:val="22"/>
              </w:rPr>
              <w:t>Maureen inquired whether</w:t>
            </w:r>
            <w:r w:rsidR="00A76F8E">
              <w:rPr>
                <w:rFonts w:asciiTheme="minorHAnsi" w:hAnsiTheme="minorHAnsi" w:cstheme="minorHAnsi"/>
                <w:sz w:val="22"/>
                <w:szCs w:val="22"/>
              </w:rPr>
              <w:t xml:space="preserve"> matching funds contributed by ACOA to the ME Humanities Council grant were accounted for in available general ledger funds.  Mason indicated that he would follow up with Nicole to confirm that the $500 contribution was withdrawn from that account.</w:t>
            </w:r>
          </w:p>
        </w:tc>
        <w:tc>
          <w:tcPr>
            <w:tcW w:w="3528" w:type="dxa"/>
          </w:tcPr>
          <w:p w14:paraId="0DE6FD62" w14:textId="77777777" w:rsidR="00FB5649" w:rsidRPr="00A45770" w:rsidRDefault="00C577D7" w:rsidP="00A76F8E">
            <w:pPr>
              <w:tabs>
                <w:tab w:val="left" w:pos="900"/>
              </w:tabs>
              <w:rPr>
                <w:rFonts w:cstheme="minorHAnsi"/>
              </w:rPr>
            </w:pPr>
            <w:r w:rsidRPr="00A45770">
              <w:rPr>
                <w:rFonts w:cstheme="minorHAnsi"/>
              </w:rPr>
              <w:t xml:space="preserve">Mason will </w:t>
            </w:r>
            <w:r w:rsidR="00A76F8E">
              <w:rPr>
                <w:rFonts w:cstheme="minorHAnsi"/>
              </w:rPr>
              <w:t>confirm with Nicole that ACOA’s $500 contribution to the Maine Humanities Council grant has been accounted for in general ledger funds for use by ACOA.</w:t>
            </w:r>
          </w:p>
        </w:tc>
      </w:tr>
      <w:tr w:rsidR="00A76F8E" w:rsidRPr="00A45770" w14:paraId="6C027D75" w14:textId="77777777" w:rsidTr="00A76F8E">
        <w:tc>
          <w:tcPr>
            <w:tcW w:w="9468" w:type="dxa"/>
            <w:gridSpan w:val="2"/>
          </w:tcPr>
          <w:p w14:paraId="3DD9EA68" w14:textId="77777777" w:rsidR="00A76F8E" w:rsidRPr="00A45770" w:rsidRDefault="00A76F8E" w:rsidP="00A76F8E">
            <w:pPr>
              <w:tabs>
                <w:tab w:val="left" w:pos="900"/>
              </w:tabs>
              <w:rPr>
                <w:rFonts w:cstheme="minorHAnsi"/>
                <w:b/>
                <w:i/>
              </w:rPr>
            </w:pPr>
            <w:r>
              <w:rPr>
                <w:rFonts w:cstheme="minorHAnsi"/>
                <w:b/>
                <w:i/>
              </w:rPr>
              <w:t>ACOA Goals and Objectives</w:t>
            </w:r>
          </w:p>
        </w:tc>
      </w:tr>
      <w:tr w:rsidR="00A76F8E" w:rsidRPr="00A45770" w14:paraId="7E242BBD" w14:textId="77777777" w:rsidTr="00A76F8E">
        <w:trPr>
          <w:trHeight w:val="1448"/>
        </w:trPr>
        <w:tc>
          <w:tcPr>
            <w:tcW w:w="5940" w:type="dxa"/>
          </w:tcPr>
          <w:p w14:paraId="3693DE00" w14:textId="77777777" w:rsidR="00A76F8E" w:rsidRPr="00A45770" w:rsidRDefault="00A76F8E" w:rsidP="00D312B4">
            <w:pPr>
              <w:pStyle w:val="NormalWeb"/>
              <w:shd w:val="clear" w:color="auto" w:fill="FFFFFF"/>
              <w:spacing w:before="120" w:beforeAutospacing="0" w:after="120" w:afterAutospacing="0"/>
              <w:textAlignment w:val="baseline"/>
              <w:rPr>
                <w:rFonts w:asciiTheme="minorHAnsi" w:hAnsiTheme="minorHAnsi" w:cstheme="minorHAnsi"/>
                <w:sz w:val="22"/>
                <w:szCs w:val="22"/>
              </w:rPr>
            </w:pPr>
            <w:r>
              <w:rPr>
                <w:rFonts w:asciiTheme="minorHAnsi" w:hAnsiTheme="minorHAnsi" w:cstheme="minorHAnsi"/>
                <w:sz w:val="22"/>
                <w:szCs w:val="22"/>
              </w:rPr>
              <w:t>Mason reported that the current Action Plan for ACOA expired in 2020. Members were not familiar with the Action Plan but agreed that it is important for the Committee to set asi</w:t>
            </w:r>
            <w:r w:rsidR="00D312B4">
              <w:rPr>
                <w:rFonts w:asciiTheme="minorHAnsi" w:hAnsiTheme="minorHAnsi" w:cstheme="minorHAnsi"/>
                <w:sz w:val="22"/>
                <w:szCs w:val="22"/>
              </w:rPr>
              <w:t xml:space="preserve">de time at its next meeting to review its mission statement and develop long term goals and short term objectives for the next 3 years. </w:t>
            </w:r>
          </w:p>
        </w:tc>
        <w:tc>
          <w:tcPr>
            <w:tcW w:w="3528" w:type="dxa"/>
          </w:tcPr>
          <w:p w14:paraId="61B88070" w14:textId="77777777" w:rsidR="00A76F8E" w:rsidRPr="00A45770" w:rsidRDefault="00A76F8E" w:rsidP="00D312B4">
            <w:pPr>
              <w:tabs>
                <w:tab w:val="left" w:pos="900"/>
              </w:tabs>
              <w:rPr>
                <w:rFonts w:cstheme="minorHAnsi"/>
              </w:rPr>
            </w:pPr>
            <w:r w:rsidRPr="00A45770">
              <w:rPr>
                <w:rFonts w:cstheme="minorHAnsi"/>
              </w:rPr>
              <w:t xml:space="preserve">Mason will </w:t>
            </w:r>
            <w:r w:rsidR="00D312B4">
              <w:rPr>
                <w:rFonts w:cstheme="minorHAnsi"/>
              </w:rPr>
              <w:t>distribute copies of the current Action Plan for ACOA to members.</w:t>
            </w:r>
          </w:p>
        </w:tc>
      </w:tr>
      <w:tr w:rsidR="00D312B4" w:rsidRPr="00A45770" w14:paraId="6F3F347E" w14:textId="77777777" w:rsidTr="00F931E8">
        <w:tc>
          <w:tcPr>
            <w:tcW w:w="9468" w:type="dxa"/>
            <w:gridSpan w:val="2"/>
          </w:tcPr>
          <w:p w14:paraId="4CAEF6CF" w14:textId="77777777" w:rsidR="00D312B4" w:rsidRPr="00A45770" w:rsidRDefault="00D312B4" w:rsidP="00F931E8">
            <w:pPr>
              <w:tabs>
                <w:tab w:val="left" w:pos="900"/>
              </w:tabs>
              <w:rPr>
                <w:rFonts w:cstheme="minorHAnsi"/>
                <w:b/>
                <w:i/>
              </w:rPr>
            </w:pPr>
            <w:r>
              <w:rPr>
                <w:rFonts w:cstheme="minorHAnsi"/>
                <w:b/>
                <w:i/>
              </w:rPr>
              <w:t>Medical Equipment Loan Program</w:t>
            </w:r>
          </w:p>
        </w:tc>
      </w:tr>
      <w:tr w:rsidR="00D312B4" w:rsidRPr="00A45770" w14:paraId="395B85AE" w14:textId="77777777" w:rsidTr="00F931E8">
        <w:trPr>
          <w:trHeight w:val="1448"/>
        </w:trPr>
        <w:tc>
          <w:tcPr>
            <w:tcW w:w="5940" w:type="dxa"/>
          </w:tcPr>
          <w:p w14:paraId="66CDC90C" w14:textId="77777777" w:rsidR="00D312B4" w:rsidRPr="00A45770" w:rsidRDefault="00D312B4" w:rsidP="00D312B4">
            <w:pPr>
              <w:pStyle w:val="NormalWeb"/>
              <w:shd w:val="clear" w:color="auto" w:fill="FFFFFF"/>
              <w:spacing w:before="120" w:beforeAutospacing="0" w:after="12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Peggy inquired whether the Town continues to have canes, crutches, walkers </w:t>
            </w:r>
            <w:proofErr w:type="spellStart"/>
            <w:r>
              <w:rPr>
                <w:rFonts w:asciiTheme="minorHAnsi" w:hAnsiTheme="minorHAnsi" w:cstheme="minorHAnsi"/>
                <w:sz w:val="22"/>
                <w:szCs w:val="22"/>
              </w:rPr>
              <w:t>etc</w:t>
            </w:r>
            <w:proofErr w:type="spellEnd"/>
            <w:r>
              <w:rPr>
                <w:rFonts w:asciiTheme="minorHAnsi" w:hAnsiTheme="minorHAnsi" w:cstheme="minorHAnsi"/>
                <w:sz w:val="22"/>
                <w:szCs w:val="22"/>
              </w:rPr>
              <w:t xml:space="preserve"> for use by residents on a loan basis.  Martha confirmed that the program is run through the Fire Department. </w:t>
            </w:r>
          </w:p>
        </w:tc>
        <w:tc>
          <w:tcPr>
            <w:tcW w:w="3528" w:type="dxa"/>
          </w:tcPr>
          <w:p w14:paraId="7FA6B430" w14:textId="77777777" w:rsidR="00D312B4" w:rsidRPr="00A45770" w:rsidRDefault="00D312B4" w:rsidP="00F931E8">
            <w:pPr>
              <w:tabs>
                <w:tab w:val="left" w:pos="900"/>
              </w:tabs>
              <w:rPr>
                <w:rFonts w:cstheme="minorHAnsi"/>
              </w:rPr>
            </w:pPr>
          </w:p>
        </w:tc>
      </w:tr>
      <w:tr w:rsidR="00D312B4" w:rsidRPr="00A45770" w14:paraId="1502C3AC" w14:textId="77777777" w:rsidTr="00F931E8">
        <w:tc>
          <w:tcPr>
            <w:tcW w:w="9468" w:type="dxa"/>
            <w:gridSpan w:val="2"/>
            <w:shd w:val="clear" w:color="auto" w:fill="D9D9D9" w:themeFill="background1" w:themeFillShade="D9"/>
          </w:tcPr>
          <w:p w14:paraId="072441F3" w14:textId="77777777" w:rsidR="00D312B4" w:rsidRPr="00A45770" w:rsidRDefault="00D312B4" w:rsidP="00F931E8">
            <w:pPr>
              <w:tabs>
                <w:tab w:val="left" w:pos="900"/>
              </w:tabs>
              <w:spacing w:after="120"/>
              <w:rPr>
                <w:rFonts w:cstheme="minorHAnsi"/>
                <w:b/>
                <w:color w:val="FFFFFF" w:themeColor="background1"/>
                <w:shd w:val="pct15" w:color="auto" w:fill="FFFFFF"/>
              </w:rPr>
            </w:pPr>
            <w:r w:rsidRPr="00A45770">
              <w:rPr>
                <w:rFonts w:cstheme="minorHAnsi"/>
                <w:b/>
                <w:color w:val="000000" w:themeColor="text1"/>
                <w:shd w:val="pct15" w:color="auto" w:fill="FFFFFF"/>
              </w:rPr>
              <w:t>Adjournment and Next Meeting</w:t>
            </w:r>
          </w:p>
        </w:tc>
      </w:tr>
      <w:tr w:rsidR="00D312B4" w:rsidRPr="00A45770" w14:paraId="3693E466" w14:textId="77777777" w:rsidTr="00F931E8">
        <w:tc>
          <w:tcPr>
            <w:tcW w:w="9468" w:type="dxa"/>
            <w:gridSpan w:val="2"/>
            <w:shd w:val="clear" w:color="auto" w:fill="FFFFFF" w:themeFill="background1"/>
          </w:tcPr>
          <w:p w14:paraId="26196066" w14:textId="77777777" w:rsidR="00D312B4" w:rsidRPr="00A45770" w:rsidRDefault="00D312B4" w:rsidP="00D312B4">
            <w:pPr>
              <w:tabs>
                <w:tab w:val="left" w:pos="900"/>
              </w:tabs>
              <w:spacing w:before="120" w:after="120"/>
              <w:rPr>
                <w:rFonts w:cstheme="minorHAnsi"/>
                <w:color w:val="000000" w:themeColor="text1"/>
                <w:shd w:val="pct15" w:color="auto" w:fill="FFFFFF"/>
              </w:rPr>
            </w:pPr>
            <w:r w:rsidRPr="00A45770">
              <w:rPr>
                <w:rFonts w:cstheme="minorHAnsi"/>
                <w:color w:val="000000" w:themeColor="text1"/>
              </w:rPr>
              <w:t xml:space="preserve">There being no further business, the meeting adjourned at </w:t>
            </w:r>
            <w:r>
              <w:rPr>
                <w:rFonts w:cstheme="minorHAnsi"/>
                <w:color w:val="000000" w:themeColor="text1"/>
              </w:rPr>
              <w:t>3</w:t>
            </w:r>
            <w:r w:rsidRPr="00A45770">
              <w:rPr>
                <w:rFonts w:cstheme="minorHAnsi"/>
                <w:color w:val="000000" w:themeColor="text1"/>
              </w:rPr>
              <w:t>:</w:t>
            </w:r>
            <w:r>
              <w:rPr>
                <w:rFonts w:cstheme="minorHAnsi"/>
                <w:color w:val="000000" w:themeColor="text1"/>
              </w:rPr>
              <w:t>15</w:t>
            </w:r>
            <w:r w:rsidRPr="00A45770">
              <w:rPr>
                <w:rFonts w:cstheme="minorHAnsi"/>
                <w:color w:val="000000" w:themeColor="text1"/>
              </w:rPr>
              <w:t xml:space="preserve"> pm. The next meeting is scheduled for Monday, </w:t>
            </w:r>
            <w:r>
              <w:rPr>
                <w:rFonts w:cstheme="minorHAnsi"/>
                <w:color w:val="000000" w:themeColor="text1"/>
              </w:rPr>
              <w:t>March 8</w:t>
            </w:r>
            <w:r w:rsidRPr="00A45770">
              <w:rPr>
                <w:rFonts w:cstheme="minorHAnsi"/>
                <w:color w:val="000000" w:themeColor="text1"/>
              </w:rPr>
              <w:t xml:space="preserve"> at 2:30 pm.</w:t>
            </w:r>
          </w:p>
        </w:tc>
      </w:tr>
    </w:tbl>
    <w:p w14:paraId="62ADF17F" w14:textId="77777777" w:rsidR="00A11298" w:rsidRPr="00A45770" w:rsidRDefault="00A11298" w:rsidP="00D312B4">
      <w:pPr>
        <w:tabs>
          <w:tab w:val="left" w:pos="900"/>
        </w:tabs>
        <w:spacing w:after="0" w:line="240" w:lineRule="auto"/>
        <w:ind w:left="900" w:hanging="900"/>
        <w:rPr>
          <w:rFonts w:cstheme="minorHAnsi"/>
        </w:rPr>
      </w:pPr>
    </w:p>
    <w:sectPr w:rsidR="00A11298" w:rsidRPr="00A45770" w:rsidSect="0072793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9CE1D3" w14:textId="77777777" w:rsidR="00141123" w:rsidRDefault="00141123" w:rsidP="00A11298">
      <w:pPr>
        <w:spacing w:after="0" w:line="240" w:lineRule="auto"/>
      </w:pPr>
      <w:r>
        <w:separator/>
      </w:r>
    </w:p>
  </w:endnote>
  <w:endnote w:type="continuationSeparator" w:id="0">
    <w:p w14:paraId="12C3E09F" w14:textId="77777777" w:rsidR="00141123" w:rsidRDefault="00141123" w:rsidP="00A11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8332002"/>
      <w:docPartObj>
        <w:docPartGallery w:val="Page Numbers (Bottom of Page)"/>
        <w:docPartUnique/>
      </w:docPartObj>
    </w:sdtPr>
    <w:sdtEndPr/>
    <w:sdtContent>
      <w:sdt>
        <w:sdtPr>
          <w:id w:val="565050523"/>
          <w:docPartObj>
            <w:docPartGallery w:val="Page Numbers (Top of Page)"/>
            <w:docPartUnique/>
          </w:docPartObj>
        </w:sdtPr>
        <w:sdtEndPr/>
        <w:sdtContent>
          <w:p w14:paraId="5390D91D" w14:textId="77777777" w:rsidR="00A76F8E" w:rsidRDefault="00A76F8E">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C129D1">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C129D1">
              <w:rPr>
                <w:b/>
                <w:noProof/>
              </w:rPr>
              <w:t>2</w:t>
            </w:r>
            <w:r>
              <w:rPr>
                <w:b/>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168A2D" w14:textId="77777777" w:rsidR="00141123" w:rsidRDefault="00141123" w:rsidP="00A11298">
      <w:pPr>
        <w:spacing w:after="0" w:line="240" w:lineRule="auto"/>
      </w:pPr>
      <w:r>
        <w:separator/>
      </w:r>
    </w:p>
  </w:footnote>
  <w:footnote w:type="continuationSeparator" w:id="0">
    <w:p w14:paraId="79BE6778" w14:textId="77777777" w:rsidR="00141123" w:rsidRDefault="00141123" w:rsidP="00A112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E2FA1" w14:textId="77777777" w:rsidR="00A76F8E" w:rsidRPr="00A11298" w:rsidRDefault="00A76F8E" w:rsidP="00A11298">
    <w:pPr>
      <w:spacing w:after="0"/>
      <w:jc w:val="center"/>
      <w:rPr>
        <w:b/>
        <w:sz w:val="32"/>
        <w:szCs w:val="32"/>
      </w:rPr>
    </w:pPr>
    <w:r w:rsidRPr="00A11298">
      <w:rPr>
        <w:b/>
        <w:sz w:val="32"/>
        <w:szCs w:val="32"/>
      </w:rPr>
      <w:t>MINUTES</w:t>
    </w:r>
  </w:p>
  <w:p w14:paraId="0446284E" w14:textId="77777777" w:rsidR="00A76F8E" w:rsidRPr="00A11298" w:rsidRDefault="00A76F8E" w:rsidP="00A11298">
    <w:pPr>
      <w:spacing w:after="0"/>
      <w:jc w:val="center"/>
      <w:rPr>
        <w:b/>
        <w:sz w:val="28"/>
        <w:szCs w:val="28"/>
      </w:rPr>
    </w:pPr>
    <w:r w:rsidRPr="00A11298">
      <w:rPr>
        <w:b/>
        <w:sz w:val="28"/>
        <w:szCs w:val="28"/>
      </w:rPr>
      <w:t>Advisory Committee for Age-Friendly Bowdoinham  (ACOA)</w:t>
    </w:r>
  </w:p>
  <w:p w14:paraId="1284F2A2" w14:textId="77777777" w:rsidR="00A76F8E" w:rsidRPr="00B623F7" w:rsidRDefault="00A76F8E" w:rsidP="00B623F7">
    <w:pPr>
      <w:spacing w:after="0"/>
      <w:jc w:val="center"/>
      <w:rPr>
        <w:b/>
        <w:sz w:val="28"/>
        <w:szCs w:val="28"/>
      </w:rPr>
    </w:pPr>
    <w:r>
      <w:rPr>
        <w:b/>
        <w:sz w:val="28"/>
        <w:szCs w:val="28"/>
      </w:rPr>
      <w:t>February 8</w:t>
    </w:r>
    <w:r w:rsidRPr="00A11298">
      <w:rPr>
        <w:b/>
        <w:sz w:val="28"/>
        <w:szCs w:val="28"/>
      </w:rPr>
      <w:t>, 202</w:t>
    </w:r>
    <w:r>
      <w:rPr>
        <w:b/>
        <w:sz w:val="28"/>
        <w:szCs w:val="28"/>
      </w:rPr>
      <w:t>1</w:t>
    </w:r>
  </w:p>
  <w:p w14:paraId="115CF078" w14:textId="77777777" w:rsidR="00A76F8E" w:rsidRDefault="00A76F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929B3"/>
    <w:multiLevelType w:val="hybridMultilevel"/>
    <w:tmpl w:val="319CA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A443B7"/>
    <w:multiLevelType w:val="hybridMultilevel"/>
    <w:tmpl w:val="7C30B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21377B"/>
    <w:multiLevelType w:val="hybridMultilevel"/>
    <w:tmpl w:val="A20C2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377674"/>
    <w:multiLevelType w:val="hybridMultilevel"/>
    <w:tmpl w:val="267CE5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C6C0EAE"/>
    <w:multiLevelType w:val="hybridMultilevel"/>
    <w:tmpl w:val="9E4EC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BC7914"/>
    <w:multiLevelType w:val="hybridMultilevel"/>
    <w:tmpl w:val="70366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3353BF"/>
    <w:multiLevelType w:val="hybridMultilevel"/>
    <w:tmpl w:val="09A66F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B6B371A"/>
    <w:multiLevelType w:val="hybridMultilevel"/>
    <w:tmpl w:val="511068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E6A36D5"/>
    <w:multiLevelType w:val="hybridMultilevel"/>
    <w:tmpl w:val="968AC3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0554907"/>
    <w:multiLevelType w:val="multilevel"/>
    <w:tmpl w:val="B70014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CE07D8"/>
    <w:multiLevelType w:val="hybridMultilevel"/>
    <w:tmpl w:val="0DFCE9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C812DCD"/>
    <w:multiLevelType w:val="hybridMultilevel"/>
    <w:tmpl w:val="27AC6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0"/>
  </w:num>
  <w:num w:numId="4">
    <w:abstractNumId w:val="1"/>
  </w:num>
  <w:num w:numId="5">
    <w:abstractNumId w:val="4"/>
  </w:num>
  <w:num w:numId="6">
    <w:abstractNumId w:val="3"/>
  </w:num>
  <w:num w:numId="7">
    <w:abstractNumId w:val="8"/>
  </w:num>
  <w:num w:numId="8">
    <w:abstractNumId w:val="5"/>
  </w:num>
  <w:num w:numId="9">
    <w:abstractNumId w:val="6"/>
  </w:num>
  <w:num w:numId="10">
    <w:abstractNumId w:val="10"/>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298"/>
    <w:rsid w:val="00013E03"/>
    <w:rsid w:val="00026491"/>
    <w:rsid w:val="00041E63"/>
    <w:rsid w:val="00044144"/>
    <w:rsid w:val="00060B10"/>
    <w:rsid w:val="000758CF"/>
    <w:rsid w:val="0007604D"/>
    <w:rsid w:val="000877F9"/>
    <w:rsid w:val="000B0723"/>
    <w:rsid w:val="000C5A77"/>
    <w:rsid w:val="000D2CF7"/>
    <w:rsid w:val="000F36EF"/>
    <w:rsid w:val="00132968"/>
    <w:rsid w:val="00141123"/>
    <w:rsid w:val="00165173"/>
    <w:rsid w:val="001B530B"/>
    <w:rsid w:val="001E4BAB"/>
    <w:rsid w:val="00214095"/>
    <w:rsid w:val="00217853"/>
    <w:rsid w:val="00237BD6"/>
    <w:rsid w:val="00240DD1"/>
    <w:rsid w:val="00245214"/>
    <w:rsid w:val="00250B19"/>
    <w:rsid w:val="00261EE1"/>
    <w:rsid w:val="00262508"/>
    <w:rsid w:val="00264D8A"/>
    <w:rsid w:val="002B75D9"/>
    <w:rsid w:val="002F78BA"/>
    <w:rsid w:val="00300311"/>
    <w:rsid w:val="00330439"/>
    <w:rsid w:val="003424D8"/>
    <w:rsid w:val="00352B72"/>
    <w:rsid w:val="00391E12"/>
    <w:rsid w:val="003976BB"/>
    <w:rsid w:val="003C04B2"/>
    <w:rsid w:val="00423244"/>
    <w:rsid w:val="00440E91"/>
    <w:rsid w:val="0048001F"/>
    <w:rsid w:val="00482C8A"/>
    <w:rsid w:val="004B26AD"/>
    <w:rsid w:val="004C7912"/>
    <w:rsid w:val="00512156"/>
    <w:rsid w:val="00540FFD"/>
    <w:rsid w:val="0055301D"/>
    <w:rsid w:val="005679AC"/>
    <w:rsid w:val="00582842"/>
    <w:rsid w:val="006018D3"/>
    <w:rsid w:val="0061001B"/>
    <w:rsid w:val="006173BB"/>
    <w:rsid w:val="00630545"/>
    <w:rsid w:val="006359D9"/>
    <w:rsid w:val="0063653A"/>
    <w:rsid w:val="00686E4B"/>
    <w:rsid w:val="006A0958"/>
    <w:rsid w:val="006A229B"/>
    <w:rsid w:val="006C1487"/>
    <w:rsid w:val="006C5BF8"/>
    <w:rsid w:val="006D3618"/>
    <w:rsid w:val="006E59DA"/>
    <w:rsid w:val="006F2D32"/>
    <w:rsid w:val="006F33E4"/>
    <w:rsid w:val="00707F26"/>
    <w:rsid w:val="00713192"/>
    <w:rsid w:val="00717FB2"/>
    <w:rsid w:val="00727939"/>
    <w:rsid w:val="007926F6"/>
    <w:rsid w:val="007A10B7"/>
    <w:rsid w:val="007B1C74"/>
    <w:rsid w:val="007C200C"/>
    <w:rsid w:val="007D46EA"/>
    <w:rsid w:val="007F7024"/>
    <w:rsid w:val="0082153B"/>
    <w:rsid w:val="00843904"/>
    <w:rsid w:val="0085042B"/>
    <w:rsid w:val="00866A67"/>
    <w:rsid w:val="008914F5"/>
    <w:rsid w:val="008B2443"/>
    <w:rsid w:val="008D0E7D"/>
    <w:rsid w:val="008F610F"/>
    <w:rsid w:val="00921330"/>
    <w:rsid w:val="009244E0"/>
    <w:rsid w:val="00973D04"/>
    <w:rsid w:val="009741DF"/>
    <w:rsid w:val="009B64DA"/>
    <w:rsid w:val="00A11298"/>
    <w:rsid w:val="00A143E6"/>
    <w:rsid w:val="00A44B0E"/>
    <w:rsid w:val="00A45770"/>
    <w:rsid w:val="00A76F8E"/>
    <w:rsid w:val="00A954B2"/>
    <w:rsid w:val="00A96EE1"/>
    <w:rsid w:val="00AB138F"/>
    <w:rsid w:val="00AB33C7"/>
    <w:rsid w:val="00AD7BC6"/>
    <w:rsid w:val="00AE5BF5"/>
    <w:rsid w:val="00B35E31"/>
    <w:rsid w:val="00B51E46"/>
    <w:rsid w:val="00B623F7"/>
    <w:rsid w:val="00B749F1"/>
    <w:rsid w:val="00BA53C7"/>
    <w:rsid w:val="00BA6B07"/>
    <w:rsid w:val="00BB0FBA"/>
    <w:rsid w:val="00BD3FF2"/>
    <w:rsid w:val="00BE1C03"/>
    <w:rsid w:val="00BE532D"/>
    <w:rsid w:val="00BE69D7"/>
    <w:rsid w:val="00BF520B"/>
    <w:rsid w:val="00C129D1"/>
    <w:rsid w:val="00C16322"/>
    <w:rsid w:val="00C23FE6"/>
    <w:rsid w:val="00C2609A"/>
    <w:rsid w:val="00C36817"/>
    <w:rsid w:val="00C37A64"/>
    <w:rsid w:val="00C42C55"/>
    <w:rsid w:val="00C577D7"/>
    <w:rsid w:val="00C662C9"/>
    <w:rsid w:val="00C664AD"/>
    <w:rsid w:val="00C87393"/>
    <w:rsid w:val="00C94CF2"/>
    <w:rsid w:val="00CB1C13"/>
    <w:rsid w:val="00CC13F6"/>
    <w:rsid w:val="00D03E40"/>
    <w:rsid w:val="00D312B4"/>
    <w:rsid w:val="00D371EA"/>
    <w:rsid w:val="00D436AB"/>
    <w:rsid w:val="00D46D67"/>
    <w:rsid w:val="00D52BFF"/>
    <w:rsid w:val="00D57159"/>
    <w:rsid w:val="00D61E85"/>
    <w:rsid w:val="00D87779"/>
    <w:rsid w:val="00D87D84"/>
    <w:rsid w:val="00D91509"/>
    <w:rsid w:val="00D91FE9"/>
    <w:rsid w:val="00DA7BFA"/>
    <w:rsid w:val="00DC0B0E"/>
    <w:rsid w:val="00DC4B2D"/>
    <w:rsid w:val="00E55133"/>
    <w:rsid w:val="00E93554"/>
    <w:rsid w:val="00EA30CE"/>
    <w:rsid w:val="00EB75E3"/>
    <w:rsid w:val="00EF0CDC"/>
    <w:rsid w:val="00F209A1"/>
    <w:rsid w:val="00F41702"/>
    <w:rsid w:val="00F46366"/>
    <w:rsid w:val="00FA018E"/>
    <w:rsid w:val="00FA1A9B"/>
    <w:rsid w:val="00FB5649"/>
    <w:rsid w:val="00FB7760"/>
    <w:rsid w:val="00FF3140"/>
    <w:rsid w:val="00FF4D6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320D6B"/>
  <w15:docId w15:val="{7FE7C0F2-AE88-4874-8333-975FFDAE9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9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A11298"/>
  </w:style>
  <w:style w:type="character" w:customStyle="1" w:styleId="DateChar">
    <w:name w:val="Date Char"/>
    <w:basedOn w:val="DefaultParagraphFont"/>
    <w:link w:val="Date"/>
    <w:uiPriority w:val="99"/>
    <w:semiHidden/>
    <w:rsid w:val="00A11298"/>
  </w:style>
  <w:style w:type="table" w:styleId="TableGrid">
    <w:name w:val="Table Grid"/>
    <w:basedOn w:val="TableNormal"/>
    <w:uiPriority w:val="59"/>
    <w:rsid w:val="00A112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112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298"/>
  </w:style>
  <w:style w:type="paragraph" w:styleId="Footer">
    <w:name w:val="footer"/>
    <w:basedOn w:val="Normal"/>
    <w:link w:val="FooterChar"/>
    <w:uiPriority w:val="99"/>
    <w:unhideWhenUsed/>
    <w:rsid w:val="00A112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298"/>
  </w:style>
  <w:style w:type="paragraph" w:styleId="BalloonText">
    <w:name w:val="Balloon Text"/>
    <w:basedOn w:val="Normal"/>
    <w:link w:val="BalloonTextChar"/>
    <w:uiPriority w:val="99"/>
    <w:semiHidden/>
    <w:unhideWhenUsed/>
    <w:rsid w:val="00A112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298"/>
    <w:rPr>
      <w:rFonts w:ascii="Tahoma" w:hAnsi="Tahoma" w:cs="Tahoma"/>
      <w:sz w:val="16"/>
      <w:szCs w:val="16"/>
    </w:rPr>
  </w:style>
  <w:style w:type="paragraph" w:styleId="ListParagraph">
    <w:name w:val="List Paragraph"/>
    <w:basedOn w:val="Normal"/>
    <w:uiPriority w:val="34"/>
    <w:qFormat/>
    <w:rsid w:val="00EF0CDC"/>
    <w:pPr>
      <w:ind w:left="720"/>
      <w:contextualSpacing/>
    </w:pPr>
  </w:style>
  <w:style w:type="character" w:styleId="Hyperlink">
    <w:name w:val="Hyperlink"/>
    <w:basedOn w:val="DefaultParagraphFont"/>
    <w:uiPriority w:val="99"/>
    <w:semiHidden/>
    <w:unhideWhenUsed/>
    <w:rsid w:val="006359D9"/>
    <w:rPr>
      <w:color w:val="0000FF"/>
      <w:u w:val="single"/>
    </w:rPr>
  </w:style>
  <w:style w:type="paragraph" w:styleId="NormalWeb">
    <w:name w:val="Normal (Web)"/>
    <w:basedOn w:val="Normal"/>
    <w:uiPriority w:val="99"/>
    <w:unhideWhenUsed/>
    <w:rsid w:val="00F4170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F417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256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Mason Griffin</cp:lastModifiedBy>
  <cp:revision>2</cp:revision>
  <cp:lastPrinted>2021-01-11T22:00:00Z</cp:lastPrinted>
  <dcterms:created xsi:type="dcterms:W3CDTF">2021-03-16T14:51:00Z</dcterms:created>
  <dcterms:modified xsi:type="dcterms:W3CDTF">2021-03-16T14:51:00Z</dcterms:modified>
</cp:coreProperties>
</file>