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D41E" w14:textId="77777777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RTICLE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9: S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>UBDIVISION</w:t>
      </w:r>
    </w:p>
    <w:p w14:paraId="651D5265" w14:textId="77777777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A) Purpose.</w:t>
      </w:r>
    </w:p>
    <w:p w14:paraId="30EEE22E" w14:textId="77777777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The purposes of this section are:</w:t>
      </w:r>
    </w:p>
    <w:p w14:paraId="5767D15B" w14:textId="77777777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1) To provide for the expeditious, equitable, and efficient review of proposed subdivisions;</w:t>
      </w:r>
    </w:p>
    <w:p w14:paraId="1908F714" w14:textId="5FC420F3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2) To establish standards for the application of the approval criteria of the State Subdivision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Law, found in Title 30-A M.R.S.A. §4401 et seq.;</w:t>
      </w:r>
    </w:p>
    <w:p w14:paraId="580C1163" w14:textId="14E99349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3) To ensure that development in the Town of Bowdoinham meets the goals and conforms to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the policies of the adopted Comprehensive Plan;</w:t>
      </w:r>
    </w:p>
    <w:p w14:paraId="4A62AF30" w14:textId="03815D6B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4) To ensure the comfort, convenience, safety, health, and welfare of the people of the Town of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Bowdoinham;</w:t>
      </w:r>
    </w:p>
    <w:p w14:paraId="3E3FC082" w14:textId="5F9F7611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5) To protect the environment and conserve the natural and cultural resources identified in the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adopted Comprehensive Plan as important to the community;</w:t>
      </w:r>
    </w:p>
    <w:p w14:paraId="743F9313" w14:textId="28B7A40E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6) To ensure that an adequate level of services and facilities are available to the residents of new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subdivisions and that lots in subdivisions can support the proposed uses and structures;</w:t>
      </w:r>
    </w:p>
    <w:p w14:paraId="2DB36F63" w14:textId="0D447801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7) To minimize the potential impacts from new subdivisions on neighboring properties and on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the municipality; and</w:t>
      </w:r>
    </w:p>
    <w:p w14:paraId="57C4E727" w14:textId="77777777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8) To promote the development of an economically sound and stable community.</w:t>
      </w:r>
    </w:p>
    <w:p w14:paraId="37E4BA3B" w14:textId="77777777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B) Administrative Procedures</w:t>
      </w:r>
    </w:p>
    <w:p w14:paraId="5CC934F6" w14:textId="77777777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1) Review &amp; Approval Authority.</w:t>
      </w:r>
    </w:p>
    <w:p w14:paraId="276C653E" w14:textId="1A791FD8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The Planning Board is authorized to review and act on all applications for subdivisions. In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considering subdivisions under this section, the Planning Board may act to approve,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disapprove, or approve the project with conditions as are authorized by these provisions.</w:t>
      </w:r>
    </w:p>
    <w:p w14:paraId="0474B55F" w14:textId="77777777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2) Classification of Projects.</w:t>
      </w:r>
    </w:p>
    <w:p w14:paraId="0C5EB9AF" w14:textId="77777777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a) The Town Planner shall classify each proposed project as:</w:t>
      </w:r>
    </w:p>
    <w:p w14:paraId="29061C95" w14:textId="44CC529C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(i) Minor Subdivision. Any subdivision containing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151615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four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151615">
        <w:rPr>
          <w:rFonts w:ascii="TimesNewRomanPSMT" w:hAnsi="TimesNewRomanPSMT" w:cs="TimesNewRomanPSMT"/>
          <w:strike/>
          <w:sz w:val="23"/>
          <w:szCs w:val="23"/>
        </w:rPr>
        <w:t>five</w:t>
      </w:r>
      <w:r>
        <w:rPr>
          <w:rFonts w:ascii="TimesNewRomanPSMT" w:hAnsi="TimesNewRomanPSMT" w:cs="TimesNewRomanPSMT"/>
          <w:sz w:val="23"/>
          <w:szCs w:val="23"/>
        </w:rPr>
        <w:t xml:space="preserve"> or fewer lots or dwelling units.</w:t>
      </w:r>
    </w:p>
    <w:p w14:paraId="6A8347D5" w14:textId="292AC74A" w:rsidR="00151615" w:rsidRDefault="00151615" w:rsidP="0015161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(ii) Major Subdivision. Any subdivision containing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FF0000"/>
          <w:sz w:val="23"/>
          <w:szCs w:val="23"/>
          <w:u w:val="single"/>
        </w:rPr>
        <w:t>five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151615">
        <w:rPr>
          <w:rFonts w:ascii="TimesNewRomanPSMT" w:hAnsi="TimesNewRomanPSMT" w:cs="TimesNewRomanPSMT"/>
          <w:strike/>
          <w:sz w:val="23"/>
          <w:szCs w:val="23"/>
        </w:rPr>
        <w:t>six</w:t>
      </w:r>
      <w:r>
        <w:rPr>
          <w:rFonts w:ascii="TimesNewRomanPSMT" w:hAnsi="TimesNewRomanPSMT" w:cs="TimesNewRomanPSMT"/>
          <w:sz w:val="23"/>
          <w:szCs w:val="23"/>
        </w:rPr>
        <w:t xml:space="preserve"> or more lots or dwelling units.</w:t>
      </w:r>
    </w:p>
    <w:p w14:paraId="0782E42D" w14:textId="6C5A46F0" w:rsidR="00E77325" w:rsidRDefault="00151615" w:rsidP="00151615">
      <w:pPr>
        <w:spacing w:after="24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(i) Subdivision Amendment. An application to revise an existing subdivision.</w:t>
      </w:r>
    </w:p>
    <w:p w14:paraId="5E606071" w14:textId="77777777" w:rsidR="00E77325" w:rsidRDefault="00E77325">
      <w:pPr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br w:type="page"/>
      </w:r>
    </w:p>
    <w:p w14:paraId="602E5406" w14:textId="606EA6D1" w:rsidR="0000792C" w:rsidRDefault="00E77325" w:rsidP="00151615">
      <w:pPr>
        <w:spacing w:after="240"/>
      </w:pPr>
      <w:r>
        <w:lastRenderedPageBreak/>
        <w:t>ARTICLE 2: DEFINITIONS</w:t>
      </w:r>
    </w:p>
    <w:p w14:paraId="38791732" w14:textId="0FF9CB24" w:rsidR="00E77325" w:rsidRDefault="00E77325" w:rsidP="00E77325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3"/>
          <w:szCs w:val="23"/>
        </w:rPr>
      </w:pPr>
      <w:r w:rsidRPr="00E77325">
        <w:rPr>
          <w:rFonts w:ascii="TimesNewRomanPSMT" w:hAnsi="TimesNewRomanPSMT" w:cs="TimesNewRomanPSMT"/>
          <w:sz w:val="23"/>
          <w:szCs w:val="23"/>
          <w:u w:val="single"/>
        </w:rPr>
        <w:t>Subdivision, Major</w:t>
      </w:r>
      <w:r>
        <w:rPr>
          <w:rFonts w:ascii="TimesNewRomanPSMT" w:hAnsi="TimesNewRomanPSMT" w:cs="TimesNewRomanPSMT"/>
          <w:sz w:val="23"/>
          <w:szCs w:val="23"/>
        </w:rPr>
        <w:t xml:space="preserve">: Any subdivision containing </w:t>
      </w:r>
      <w:r w:rsidRPr="00E77325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five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E77325">
        <w:rPr>
          <w:rFonts w:ascii="TimesNewRomanPSMT" w:hAnsi="TimesNewRomanPSMT" w:cs="TimesNewRomanPSMT"/>
          <w:strike/>
          <w:sz w:val="23"/>
          <w:szCs w:val="23"/>
        </w:rPr>
        <w:t>six</w:t>
      </w:r>
      <w:r>
        <w:rPr>
          <w:rFonts w:ascii="TimesNewRomanPSMT" w:hAnsi="TimesNewRomanPSMT" w:cs="TimesNewRomanPSMT"/>
          <w:sz w:val="23"/>
          <w:szCs w:val="23"/>
        </w:rPr>
        <w:t xml:space="preserve"> or more lots or dwelling units including an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amendment to an approved subdivision that will result in the creation of a total of more than </w:t>
      </w:r>
      <w:r w:rsidRPr="00E77325">
        <w:rPr>
          <w:rFonts w:ascii="TimesNewRomanPSMT" w:hAnsi="TimesNewRomanPSMT" w:cs="TimesNewRomanPSMT"/>
          <w:color w:val="FF0000"/>
          <w:sz w:val="23"/>
          <w:szCs w:val="23"/>
          <w:u w:val="single"/>
        </w:rPr>
        <w:t xml:space="preserve">five (5) </w:t>
      </w:r>
      <w:r w:rsidRPr="00E77325">
        <w:rPr>
          <w:rFonts w:ascii="TimesNewRomanPSMT" w:hAnsi="TimesNewRomanPSMT" w:cs="TimesNewRomanPSMT"/>
          <w:strike/>
          <w:sz w:val="23"/>
          <w:szCs w:val="23"/>
        </w:rPr>
        <w:t>six (6)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lots in the entire subdivision.</w:t>
      </w:r>
    </w:p>
    <w:p w14:paraId="1002877B" w14:textId="055D903E" w:rsidR="00E77325" w:rsidRDefault="00E77325" w:rsidP="00E77325">
      <w:pPr>
        <w:spacing w:after="240"/>
        <w:rPr>
          <w:rFonts w:ascii="TimesNewRomanPSMT" w:hAnsi="TimesNewRomanPSMT" w:cs="TimesNewRomanPSMT"/>
          <w:sz w:val="23"/>
          <w:szCs w:val="23"/>
        </w:rPr>
      </w:pPr>
      <w:r w:rsidRPr="00E77325">
        <w:rPr>
          <w:rFonts w:ascii="TimesNewRomanPSMT" w:hAnsi="TimesNewRomanPSMT" w:cs="TimesNewRomanPSMT"/>
          <w:sz w:val="23"/>
          <w:szCs w:val="23"/>
          <w:u w:val="single"/>
        </w:rPr>
        <w:t>Subdivision, Minor</w:t>
      </w:r>
      <w:r>
        <w:rPr>
          <w:rFonts w:ascii="TimesNewRomanPSMT" w:hAnsi="TimesNewRomanPSMT" w:cs="TimesNewRomanPSMT"/>
          <w:sz w:val="23"/>
          <w:szCs w:val="23"/>
        </w:rPr>
        <w:t xml:space="preserve">: Any subdivision containing </w:t>
      </w:r>
      <w:r w:rsidRPr="00E77325">
        <w:rPr>
          <w:rFonts w:ascii="TimesNewRomanPSMT" w:hAnsi="TimesNewRomanPSMT" w:cs="TimesNewRomanPSMT"/>
          <w:color w:val="FF0000"/>
          <w:sz w:val="23"/>
          <w:szCs w:val="23"/>
          <w:u w:val="single"/>
        </w:rPr>
        <w:t>four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Pr="00E77325">
        <w:rPr>
          <w:rFonts w:ascii="TimesNewRomanPSMT" w:hAnsi="TimesNewRomanPSMT" w:cs="TimesNewRomanPSMT"/>
          <w:strike/>
          <w:sz w:val="23"/>
          <w:szCs w:val="23"/>
        </w:rPr>
        <w:t>five</w:t>
      </w:r>
      <w:r>
        <w:rPr>
          <w:rFonts w:ascii="TimesNewRomanPSMT" w:hAnsi="TimesNewRomanPSMT" w:cs="TimesNewRomanPSMT"/>
          <w:sz w:val="23"/>
          <w:szCs w:val="23"/>
        </w:rPr>
        <w:t xml:space="preserve"> or fewer lots or dwelling units.</w:t>
      </w:r>
    </w:p>
    <w:p w14:paraId="4CBDD157" w14:textId="5637E504" w:rsidR="00B11FFB" w:rsidRDefault="00B11FFB" w:rsidP="00B11FFB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3"/>
          <w:szCs w:val="23"/>
        </w:rPr>
        <w:t xml:space="preserve">Subdivision: </w:t>
      </w:r>
      <w:r>
        <w:rPr>
          <w:rFonts w:ascii="TimesNewRomanPSMT" w:hAnsi="TimesNewRomanPSMT" w:cs="TimesNewRomanPSMT"/>
        </w:rPr>
        <w:t>The division of a tract or parcel of land into 3 or more lots within any 5year period that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begins on or after September 23, 1971. This definition applies whether the division is accomplished by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sale, lease, development, buildings or otherwise. The term "subdivision" also includes the division of a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new structure or structures on a tract or parcel of land into 3 or more dwelling units within a 5-year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period, the construction or placement of 3 or more dwelling units on a single tract or parcel of land and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the division of an existing structure or structures previously used for commercial or industrial use into 3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or more dwelling units within a 5-year period.</w:t>
      </w:r>
    </w:p>
    <w:p w14:paraId="0EE53D76" w14:textId="6CA13910" w:rsidR="00B11FFB" w:rsidRDefault="00B11FFB" w:rsidP="00B11FFB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In determining whether a tract or parcel of land is divided into 3 or more lots, the first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dividing of the tract or parcel is considered to create the first 2 lots and the next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dividing of either of these first 2 lots, by whomever accomplished, is considered to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create a 3rd lot, unless:</w:t>
      </w:r>
    </w:p>
    <w:p w14:paraId="5D85D4D6" w14:textId="29E372FD" w:rsidR="00B11FFB" w:rsidRDefault="00B11FFB" w:rsidP="00B11FFB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Both dividings are accomplished by a subdivider who has retained one of the lots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for the subdivider's own use as a single-family residence that has been the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subdivider's principal residence for a period of at least 5 years immediately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preceding the 2nd division; or</w:t>
      </w:r>
    </w:p>
    <w:p w14:paraId="7242F473" w14:textId="77777777" w:rsidR="00B11FFB" w:rsidRDefault="00B11FFB" w:rsidP="00B11FFB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The division of the tract or parcel is otherwise exempt under this Ordinance.</w:t>
      </w:r>
    </w:p>
    <w:p w14:paraId="32541F35" w14:textId="78FDB7CB" w:rsidR="00B11FFB" w:rsidRDefault="00B11FFB" w:rsidP="00B11FFB">
      <w:pPr>
        <w:autoSpaceDE w:val="0"/>
        <w:autoSpaceDN w:val="0"/>
        <w:adjustRightInd w:val="0"/>
        <w:spacing w:after="24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The dividing of a tract or parcel of land and the lot or lots so made, which dividing or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lots when made are not subject to this Ordinance, do not become subject to this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Ordinance by the subsequent dividing of that tract or parcel of land or any portion of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that tract or parcel. The municipal reviewing authority shall consider the existence of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 previously created lot or lots in reviewing a proposed subdivision created by 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subsequent dividing.</w:t>
      </w:r>
    </w:p>
    <w:p w14:paraId="71735976" w14:textId="354CB31B" w:rsidR="00B11FFB" w:rsidRDefault="00B11FFB" w:rsidP="00B11FFB">
      <w:pPr>
        <w:spacing w:after="240"/>
      </w:pPr>
      <w:r>
        <w:rPr>
          <w:rFonts w:ascii="TimesNewRomanPSMT" w:hAnsi="TimesNewRomanPSMT" w:cs="TimesNewRomanPSMT"/>
          <w:sz w:val="24"/>
          <w:szCs w:val="24"/>
        </w:rPr>
        <w:t>3. A lot of 40 or more acres shall be counted as a lot</w:t>
      </w:r>
      <w:r w:rsidRPr="00B11FFB">
        <w:rPr>
          <w:rFonts w:ascii="TimesNewRomanPSMT" w:hAnsi="TimesNewRomanPSMT" w:cs="TimesNewRomanPSMT"/>
          <w:color w:val="FF0000"/>
          <w:sz w:val="24"/>
          <w:szCs w:val="24"/>
          <w:u w:val="single"/>
        </w:rPr>
        <w:t xml:space="preserve">, per M.R.S.A. </w:t>
      </w:r>
      <w:r w:rsidRPr="00B11FFB">
        <w:rPr>
          <w:rFonts w:ascii="TimesNewRomanPSMT" w:hAnsi="TimesNewRomanPSMT" w:cs="TimesNewRomanPSMT"/>
          <w:color w:val="FF0000"/>
          <w:sz w:val="24"/>
          <w:szCs w:val="24"/>
          <w:u w:val="single"/>
        </w:rPr>
        <w:t>§</w:t>
      </w:r>
      <w:r w:rsidRPr="00B11FFB">
        <w:rPr>
          <w:rFonts w:ascii="TimesNewRomanPSMT" w:hAnsi="TimesNewRomanPSMT" w:cs="TimesNewRomanPSMT"/>
          <w:color w:val="FF0000"/>
          <w:sz w:val="24"/>
          <w:szCs w:val="24"/>
          <w:u w:val="single"/>
        </w:rPr>
        <w:t>4401 4C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sectPr w:rsidR="00B11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15"/>
    <w:rsid w:val="00151615"/>
    <w:rsid w:val="00705F69"/>
    <w:rsid w:val="00A9641D"/>
    <w:rsid w:val="00B11FFB"/>
    <w:rsid w:val="00E7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D119"/>
  <w15:chartTrackingRefBased/>
  <w15:docId w15:val="{0EEFA940-C9A8-4E24-BCA4-B1C1D800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0E632AC2B74B9EF0B272FD81BE60" ma:contentTypeVersion="5" ma:contentTypeDescription="Create a new document." ma:contentTypeScope="" ma:versionID="de0c5d0769fb4fa0631584e6d7bf59d1">
  <xsd:schema xmlns:xsd="http://www.w3.org/2001/XMLSchema" xmlns:xs="http://www.w3.org/2001/XMLSchema" xmlns:p="http://schemas.microsoft.com/office/2006/metadata/properties" xmlns:ns2="99c971ca-438e-4658-8664-fc0c5d2bef1f" xmlns:ns3="b7ff5466-c04c-4e68-b0a4-c491642d3487" targetNamespace="http://schemas.microsoft.com/office/2006/metadata/properties" ma:root="true" ma:fieldsID="c32f59d921909625f80b78e86dbe78bf" ns2:_="" ns3:_="">
    <xsd:import namespace="99c971ca-438e-4658-8664-fc0c5d2bef1f"/>
    <xsd:import namespace="b7ff5466-c04c-4e68-b0a4-c491642d3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971ca-438e-4658-8664-fc0c5d2b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5466-c04c-4e68-b0a4-c491642d3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640742-0ED9-4436-9BC8-4CB33D2A8BC6}"/>
</file>

<file path=customXml/itemProps2.xml><?xml version="1.0" encoding="utf-8"?>
<ds:datastoreItem xmlns:ds="http://schemas.openxmlformats.org/officeDocument/2006/customXml" ds:itemID="{121EABC3-56B6-4A59-8D67-5D6E601EBF10}"/>
</file>

<file path=customXml/itemProps3.xml><?xml version="1.0" encoding="utf-8"?>
<ds:datastoreItem xmlns:ds="http://schemas.openxmlformats.org/officeDocument/2006/customXml" ds:itemID="{54961798-29E0-4BD7-9F0D-701EEA95E1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592</Words>
  <Characters>3381</Characters>
  <Application>Microsoft Office Word</Application>
  <DocSecurity>0</DocSecurity>
  <Lines>28</Lines>
  <Paragraphs>7</Paragraphs>
  <ScaleCrop>false</ScaleCrop>
  <Company>State of Maine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Tracy</dc:creator>
  <cp:keywords/>
  <dc:description/>
  <cp:lastModifiedBy>Krueger, Tracy</cp:lastModifiedBy>
  <cp:revision>3</cp:revision>
  <dcterms:created xsi:type="dcterms:W3CDTF">2023-11-26T14:39:00Z</dcterms:created>
  <dcterms:modified xsi:type="dcterms:W3CDTF">2023-11-26T16:54:00Z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0x01010015B00E632AC2B74B9EF0B272FD81BE60</vt:lpwstr>
  </property>
</Properties>
</file>